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1A5" w:rsidRDefault="00A40652">
      <w:pPr>
        <w:pStyle w:val="Standard"/>
        <w:snapToGrid w:val="0"/>
        <w:rPr>
          <w:rFonts w:ascii="標楷體" w:eastAsia="標楷體" w:hAnsi="標楷體" w:cs="標楷體"/>
          <w:b/>
          <w:sz w:val="36"/>
          <w:szCs w:val="36"/>
        </w:rPr>
      </w:pPr>
      <w:bookmarkStart w:id="0" w:name="_GoBack"/>
      <w:r>
        <w:rPr>
          <w:rFonts w:ascii="標楷體" w:eastAsia="標楷體" w:hAnsi="標楷體" w:cs="標楷體"/>
          <w:b/>
          <w:sz w:val="36"/>
          <w:szCs w:val="36"/>
        </w:rPr>
        <w:t>教育部國民及學前教育署補助推動國際教育經費作業要點修正規定</w:t>
      </w:r>
    </w:p>
    <w:bookmarkEnd w:id="0"/>
    <w:p w:rsidR="00BD51A5" w:rsidRDefault="00BD51A5">
      <w:pPr>
        <w:pStyle w:val="Standard"/>
        <w:snapToGrid w:val="0"/>
        <w:spacing w:line="400" w:lineRule="exact"/>
        <w:rPr>
          <w:rFonts w:ascii="標楷體" w:eastAsia="標楷體" w:hAnsi="標楷體" w:cs="標楷體"/>
          <w:b/>
          <w:sz w:val="36"/>
          <w:szCs w:val="36"/>
        </w:rPr>
      </w:pPr>
    </w:p>
    <w:p w:rsidR="00BD51A5" w:rsidRDefault="00A40652">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一、教育部國民及學前教育署（以下簡稱本署）為推動教育部中小學國際教育白皮書</w:t>
      </w:r>
      <w:r>
        <w:rPr>
          <w:rFonts w:ascii="標楷體" w:eastAsia="標楷體" w:hAnsi="標楷體" w:cs="標楷體"/>
          <w:sz w:val="28"/>
          <w:szCs w:val="28"/>
        </w:rPr>
        <w:t xml:space="preserve"> 2.0</w:t>
      </w:r>
      <w:r>
        <w:rPr>
          <w:rFonts w:ascii="標楷體" w:eastAsia="標楷體" w:hAnsi="標楷體" w:cs="標楷體"/>
          <w:sz w:val="28"/>
          <w:szCs w:val="28"/>
        </w:rPr>
        <w:t>（以下簡稱國際教育</w:t>
      </w:r>
      <w:r>
        <w:rPr>
          <w:rFonts w:ascii="標楷體" w:eastAsia="標楷體" w:hAnsi="標楷體" w:cs="標楷體"/>
          <w:sz w:val="28"/>
          <w:szCs w:val="28"/>
        </w:rPr>
        <w:t xml:space="preserve"> 2.0</w:t>
      </w:r>
      <w:r>
        <w:rPr>
          <w:rFonts w:ascii="標楷體" w:eastAsia="標楷體" w:hAnsi="標楷體" w:cs="標楷體"/>
          <w:sz w:val="28"/>
          <w:szCs w:val="28"/>
        </w:rPr>
        <w:t>），鼓勵並補助直轄市及縣（市）政府（以下簡稱地方政府）及高級中等以下學校（以下簡稱學校）推動及辦理學校本位國際教育精進計畫</w:t>
      </w:r>
      <w:r>
        <w:rPr>
          <w:rFonts w:ascii="標楷體" w:eastAsia="標楷體" w:hAnsi="標楷體" w:cs="標楷體"/>
          <w:sz w:val="28"/>
          <w:szCs w:val="28"/>
        </w:rPr>
        <w:t xml:space="preserve">(School-based International Education </w:t>
      </w:r>
      <w:r>
        <w:rPr>
          <w:rFonts w:ascii="標楷體" w:eastAsia="標楷體" w:hAnsi="標楷體" w:cs="標楷體"/>
          <w:sz w:val="28"/>
          <w:szCs w:val="28"/>
        </w:rPr>
        <w:t>Project</w:t>
      </w:r>
      <w:r>
        <w:rPr>
          <w:rFonts w:ascii="標楷體" w:eastAsia="標楷體" w:hAnsi="標楷體" w:cs="標楷體"/>
          <w:sz w:val="28"/>
          <w:szCs w:val="28"/>
        </w:rPr>
        <w:t>，以下簡稱</w:t>
      </w:r>
      <w:r>
        <w:rPr>
          <w:rFonts w:ascii="標楷體" w:eastAsia="標楷體" w:hAnsi="標楷體" w:cs="標楷體"/>
          <w:sz w:val="28"/>
          <w:szCs w:val="28"/>
        </w:rPr>
        <w:t xml:space="preserve"> SIEP</w:t>
      </w:r>
      <w:r>
        <w:rPr>
          <w:rFonts w:ascii="標楷體" w:eastAsia="標楷體" w:hAnsi="標楷體" w:cs="標楷體"/>
          <w:sz w:val="28"/>
          <w:szCs w:val="28"/>
        </w:rPr>
        <w:t>），特訂定本要點。</w:t>
      </w:r>
    </w:p>
    <w:p w:rsidR="00BD51A5" w:rsidRDefault="00A40652">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二、本要點之補助對象如下：</w:t>
      </w:r>
    </w:p>
    <w:p w:rsidR="00BD51A5" w:rsidRDefault="00A40652">
      <w:pPr>
        <w:pStyle w:val="Standard"/>
        <w:snapToGrid w:val="0"/>
        <w:spacing w:line="460" w:lineRule="exact"/>
        <w:ind w:left="557" w:hanging="132"/>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一</w:t>
      </w:r>
      <w:r>
        <w:rPr>
          <w:rFonts w:ascii="標楷體" w:eastAsia="標楷體" w:hAnsi="標楷體" w:cs="標楷體"/>
          <w:sz w:val="28"/>
          <w:szCs w:val="28"/>
        </w:rPr>
        <w:t>)</w:t>
      </w:r>
      <w:r>
        <w:rPr>
          <w:rFonts w:ascii="標楷體" w:eastAsia="標楷體" w:hAnsi="標楷體" w:cs="標楷體"/>
          <w:sz w:val="28"/>
          <w:szCs w:val="28"/>
        </w:rPr>
        <w:t>地方政府。</w:t>
      </w:r>
    </w:p>
    <w:p w:rsidR="00BD51A5" w:rsidRDefault="00A40652">
      <w:pPr>
        <w:pStyle w:val="Standard"/>
        <w:snapToGrid w:val="0"/>
        <w:spacing w:line="460" w:lineRule="exact"/>
        <w:ind w:left="557" w:hanging="132"/>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地方政府主管學校。</w:t>
      </w:r>
    </w:p>
    <w:p w:rsidR="00BD51A5" w:rsidRDefault="00A40652">
      <w:pPr>
        <w:pStyle w:val="Standard"/>
        <w:snapToGrid w:val="0"/>
        <w:spacing w:line="460" w:lineRule="exact"/>
        <w:ind w:left="557" w:hanging="132"/>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三</w:t>
      </w:r>
      <w:r>
        <w:rPr>
          <w:rFonts w:ascii="標楷體" w:eastAsia="標楷體" w:hAnsi="標楷體" w:cs="標楷體"/>
          <w:sz w:val="28"/>
          <w:szCs w:val="28"/>
        </w:rPr>
        <w:t>)</w:t>
      </w:r>
      <w:r>
        <w:rPr>
          <w:rFonts w:ascii="標楷體" w:eastAsia="標楷體" w:hAnsi="標楷體" w:cs="標楷體"/>
          <w:sz w:val="28"/>
          <w:szCs w:val="28"/>
        </w:rPr>
        <w:t>教育部主管學校。</w:t>
      </w:r>
    </w:p>
    <w:p w:rsidR="00BD51A5" w:rsidRDefault="00A40652">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三、本要點補助範圍如下：</w:t>
      </w:r>
    </w:p>
    <w:p w:rsidR="00BD51A5" w:rsidRDefault="00A40652">
      <w:pPr>
        <w:pStyle w:val="Standard"/>
        <w:snapToGrid w:val="0"/>
        <w:spacing w:line="460" w:lineRule="exact"/>
        <w:ind w:left="1040" w:hanging="560"/>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一</w:t>
      </w:r>
      <w:r>
        <w:rPr>
          <w:rFonts w:ascii="標楷體" w:eastAsia="標楷體" w:hAnsi="標楷體" w:cs="標楷體"/>
          <w:sz w:val="28"/>
          <w:szCs w:val="28"/>
        </w:rPr>
        <w:t>)</w:t>
      </w:r>
      <w:r>
        <w:rPr>
          <w:rFonts w:ascii="標楷體" w:eastAsia="標楷體" w:hAnsi="標楷體" w:cs="標楷體"/>
          <w:sz w:val="28"/>
          <w:szCs w:val="28"/>
        </w:rPr>
        <w:t>補助地方政府設立任務編組或指定主管學校擔任任務學校，及補助本署指定教育部主管學校擔任任務學校，推動下列工作：</w:t>
      </w:r>
    </w:p>
    <w:p w:rsidR="00BD51A5" w:rsidRDefault="00A40652">
      <w:pPr>
        <w:pStyle w:val="Standard"/>
        <w:snapToGrid w:val="0"/>
        <w:spacing w:line="460" w:lineRule="exact"/>
        <w:ind w:left="1036" w:hanging="45"/>
        <w:jc w:val="both"/>
        <w:rPr>
          <w:rFonts w:ascii="標楷體" w:eastAsia="標楷體" w:hAnsi="標楷體" w:cs="標楷體"/>
          <w:sz w:val="28"/>
          <w:szCs w:val="28"/>
        </w:rPr>
      </w:pPr>
      <w:r>
        <w:rPr>
          <w:rFonts w:ascii="標楷體" w:eastAsia="標楷體" w:hAnsi="標楷體" w:cs="標楷體"/>
          <w:sz w:val="28"/>
          <w:szCs w:val="28"/>
        </w:rPr>
        <w:t>1.</w:t>
      </w:r>
      <w:r>
        <w:rPr>
          <w:rFonts w:ascii="標楷體" w:eastAsia="標楷體" w:hAnsi="標楷體" w:cs="標楷體"/>
          <w:sz w:val="28"/>
          <w:szCs w:val="28"/>
        </w:rPr>
        <w:t>國際教育地方培力團：</w:t>
      </w:r>
    </w:p>
    <w:p w:rsidR="00BD51A5" w:rsidRDefault="00A40652">
      <w:pPr>
        <w:pStyle w:val="Standard"/>
        <w:snapToGrid w:val="0"/>
        <w:spacing w:line="460" w:lineRule="exact"/>
        <w:ind w:left="1274" w:hanging="45"/>
        <w:jc w:val="both"/>
        <w:rPr>
          <w:rFonts w:ascii="標楷體" w:eastAsia="標楷體" w:hAnsi="標楷體" w:cs="標楷體"/>
          <w:sz w:val="28"/>
          <w:szCs w:val="28"/>
        </w:rPr>
      </w:pPr>
      <w:r>
        <w:rPr>
          <w:rFonts w:ascii="標楷體" w:eastAsia="標楷體" w:hAnsi="標楷體" w:cs="標楷體"/>
          <w:sz w:val="28"/>
          <w:szCs w:val="28"/>
        </w:rPr>
        <w:t>(1)</w:t>
      </w:r>
      <w:r>
        <w:rPr>
          <w:rFonts w:ascii="標楷體" w:eastAsia="標楷體" w:hAnsi="標楷體" w:cs="標楷體"/>
          <w:sz w:val="28"/>
          <w:szCs w:val="28"/>
        </w:rPr>
        <w:t>提出年度工作計畫；</w:t>
      </w:r>
    </w:p>
    <w:p w:rsidR="00BD51A5" w:rsidRDefault="00A40652">
      <w:pPr>
        <w:pStyle w:val="Standard"/>
        <w:snapToGrid w:val="0"/>
        <w:spacing w:line="460" w:lineRule="exact"/>
        <w:ind w:left="1274" w:hanging="45"/>
        <w:jc w:val="both"/>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sz w:val="28"/>
          <w:szCs w:val="28"/>
        </w:rPr>
        <w:t>辦理教師國際教育培力研習；</w:t>
      </w:r>
    </w:p>
    <w:p w:rsidR="00BD51A5" w:rsidRDefault="00A40652">
      <w:pPr>
        <w:pStyle w:val="Standard"/>
        <w:snapToGrid w:val="0"/>
        <w:spacing w:line="460" w:lineRule="exact"/>
        <w:ind w:left="1274" w:hanging="45"/>
        <w:jc w:val="both"/>
        <w:rPr>
          <w:rFonts w:ascii="標楷體" w:eastAsia="標楷體" w:hAnsi="標楷體" w:cs="標楷體"/>
          <w:sz w:val="28"/>
          <w:szCs w:val="28"/>
        </w:rPr>
      </w:pPr>
      <w:r>
        <w:rPr>
          <w:rFonts w:ascii="標楷體" w:eastAsia="標楷體" w:hAnsi="標楷體" w:cs="標楷體"/>
          <w:sz w:val="28"/>
          <w:szCs w:val="28"/>
        </w:rPr>
        <w:t>(3)</w:t>
      </w:r>
      <w:r>
        <w:rPr>
          <w:rFonts w:ascii="標楷體" w:eastAsia="標楷體" w:hAnsi="標楷體" w:cs="標楷體"/>
          <w:sz w:val="28"/>
          <w:szCs w:val="28"/>
        </w:rPr>
        <w:t>辦理</w:t>
      </w:r>
      <w:r>
        <w:rPr>
          <w:rFonts w:ascii="標楷體" w:eastAsia="標楷體" w:hAnsi="標楷體" w:cs="標楷體"/>
          <w:sz w:val="28"/>
          <w:szCs w:val="28"/>
        </w:rPr>
        <w:t>SIEP</w:t>
      </w:r>
      <w:r>
        <w:rPr>
          <w:rFonts w:ascii="標楷體" w:eastAsia="標楷體" w:hAnsi="標楷體" w:cs="標楷體"/>
          <w:sz w:val="28"/>
          <w:szCs w:val="28"/>
        </w:rPr>
        <w:t>諮詢與輔導；</w:t>
      </w:r>
    </w:p>
    <w:p w:rsidR="00BD51A5" w:rsidRDefault="00A40652">
      <w:pPr>
        <w:pStyle w:val="Standard"/>
        <w:snapToGrid w:val="0"/>
        <w:spacing w:line="460" w:lineRule="exact"/>
        <w:ind w:left="1274" w:hanging="45"/>
        <w:jc w:val="both"/>
        <w:rPr>
          <w:rFonts w:ascii="標楷體" w:eastAsia="標楷體" w:hAnsi="標楷體" w:cs="標楷體"/>
          <w:sz w:val="28"/>
          <w:szCs w:val="28"/>
        </w:rPr>
      </w:pPr>
      <w:r>
        <w:rPr>
          <w:rFonts w:ascii="標楷體" w:eastAsia="標楷體" w:hAnsi="標楷體" w:cs="標楷體"/>
          <w:sz w:val="28"/>
          <w:szCs w:val="28"/>
        </w:rPr>
        <w:t>(4)</w:t>
      </w:r>
      <w:r>
        <w:rPr>
          <w:rFonts w:ascii="標楷體" w:eastAsia="標楷體" w:hAnsi="標楷體" w:cs="標楷體"/>
          <w:sz w:val="28"/>
          <w:szCs w:val="28"/>
        </w:rPr>
        <w:t>經營</w:t>
      </w:r>
      <w:r>
        <w:rPr>
          <w:rFonts w:ascii="標楷體" w:eastAsia="標楷體" w:hAnsi="標楷體" w:cs="標楷體"/>
          <w:sz w:val="28"/>
          <w:szCs w:val="28"/>
        </w:rPr>
        <w:t>SIEP</w:t>
      </w:r>
      <w:r>
        <w:rPr>
          <w:rFonts w:ascii="標楷體" w:eastAsia="標楷體" w:hAnsi="標楷體" w:cs="標楷體"/>
          <w:sz w:val="28"/>
          <w:szCs w:val="28"/>
        </w:rPr>
        <w:t>研發社群；</w:t>
      </w:r>
    </w:p>
    <w:p w:rsidR="00BD51A5" w:rsidRDefault="00A40652">
      <w:pPr>
        <w:pStyle w:val="Standard"/>
        <w:snapToGrid w:val="0"/>
        <w:spacing w:line="460" w:lineRule="exact"/>
        <w:ind w:left="1274" w:hanging="45"/>
        <w:jc w:val="both"/>
        <w:rPr>
          <w:rFonts w:ascii="標楷體" w:eastAsia="標楷體" w:hAnsi="標楷體" w:cs="標楷體"/>
          <w:sz w:val="28"/>
          <w:szCs w:val="28"/>
        </w:rPr>
      </w:pPr>
      <w:r>
        <w:rPr>
          <w:rFonts w:ascii="標楷體" w:eastAsia="標楷體" w:hAnsi="標楷體" w:cs="標楷體"/>
          <w:sz w:val="28"/>
          <w:szCs w:val="28"/>
        </w:rPr>
        <w:t>(5)</w:t>
      </w:r>
      <w:r>
        <w:rPr>
          <w:rFonts w:ascii="標楷體" w:eastAsia="標楷體" w:hAnsi="標楷體" w:cs="標楷體"/>
          <w:sz w:val="28"/>
          <w:szCs w:val="28"/>
        </w:rPr>
        <w:t>管理</w:t>
      </w:r>
      <w:r>
        <w:rPr>
          <w:rFonts w:ascii="標楷體" w:eastAsia="標楷體" w:hAnsi="標楷體" w:cs="標楷體"/>
          <w:sz w:val="28"/>
          <w:szCs w:val="28"/>
        </w:rPr>
        <w:t>SIEP</w:t>
      </w:r>
      <w:r>
        <w:rPr>
          <w:rFonts w:ascii="標楷體" w:eastAsia="標楷體" w:hAnsi="標楷體" w:cs="標楷體"/>
          <w:sz w:val="28"/>
          <w:szCs w:val="28"/>
        </w:rPr>
        <w:t>培力諮輔資料庫與資源分享平臺；</w:t>
      </w:r>
    </w:p>
    <w:p w:rsidR="00BD51A5" w:rsidRDefault="00A40652">
      <w:pPr>
        <w:pStyle w:val="Standard"/>
        <w:snapToGrid w:val="0"/>
        <w:spacing w:line="460" w:lineRule="exact"/>
        <w:ind w:left="1274" w:hanging="45"/>
        <w:jc w:val="both"/>
        <w:rPr>
          <w:rFonts w:ascii="標楷體" w:eastAsia="標楷體" w:hAnsi="標楷體" w:cs="標楷體"/>
          <w:sz w:val="28"/>
          <w:szCs w:val="28"/>
        </w:rPr>
      </w:pPr>
      <w:r>
        <w:rPr>
          <w:rFonts w:ascii="標楷體" w:eastAsia="標楷體" w:hAnsi="標楷體" w:cs="標楷體"/>
          <w:sz w:val="28"/>
          <w:szCs w:val="28"/>
        </w:rPr>
        <w:t>(6)</w:t>
      </w:r>
      <w:r>
        <w:rPr>
          <w:rFonts w:ascii="標楷體" w:eastAsia="標楷體" w:hAnsi="標楷體" w:cs="標楷體"/>
          <w:sz w:val="28"/>
          <w:szCs w:val="28"/>
        </w:rPr>
        <w:t>向國際教育中央培力團提出年度工作報告。</w:t>
      </w:r>
    </w:p>
    <w:p w:rsidR="00BD51A5" w:rsidRDefault="00A40652">
      <w:pPr>
        <w:pStyle w:val="Standard"/>
        <w:snapToGrid w:val="0"/>
        <w:spacing w:line="460" w:lineRule="exact"/>
        <w:ind w:left="993" w:hanging="45"/>
        <w:jc w:val="both"/>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sz w:val="28"/>
          <w:szCs w:val="28"/>
        </w:rPr>
        <w:t>國際教育行政支援窗口：</w:t>
      </w:r>
    </w:p>
    <w:p w:rsidR="00BD51A5" w:rsidRDefault="00A40652">
      <w:pPr>
        <w:pStyle w:val="Standard"/>
        <w:snapToGrid w:val="0"/>
        <w:spacing w:line="460" w:lineRule="exact"/>
        <w:ind w:left="1274" w:hanging="45"/>
        <w:jc w:val="both"/>
        <w:rPr>
          <w:rFonts w:ascii="標楷體" w:eastAsia="標楷體" w:hAnsi="標楷體" w:cs="標楷體"/>
          <w:sz w:val="28"/>
          <w:szCs w:val="28"/>
        </w:rPr>
      </w:pPr>
      <w:r>
        <w:rPr>
          <w:rFonts w:ascii="標楷體" w:eastAsia="標楷體" w:hAnsi="標楷體" w:cs="標楷體"/>
          <w:sz w:val="28"/>
          <w:szCs w:val="28"/>
        </w:rPr>
        <w:t>(1)</w:t>
      </w:r>
      <w:r>
        <w:rPr>
          <w:rFonts w:ascii="標楷體" w:eastAsia="標楷體" w:hAnsi="標楷體" w:cs="標楷體"/>
          <w:sz w:val="28"/>
          <w:szCs w:val="28"/>
        </w:rPr>
        <w:t>提出年度工作計畫；</w:t>
      </w:r>
    </w:p>
    <w:p w:rsidR="00BD51A5" w:rsidRDefault="00A40652">
      <w:pPr>
        <w:pStyle w:val="Standard"/>
        <w:snapToGrid w:val="0"/>
        <w:spacing w:line="460" w:lineRule="exact"/>
        <w:ind w:left="1274" w:hanging="45"/>
        <w:jc w:val="both"/>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sz w:val="28"/>
          <w:szCs w:val="28"/>
        </w:rPr>
        <w:t>辦理國際教育</w:t>
      </w:r>
      <w:r>
        <w:rPr>
          <w:rFonts w:ascii="標楷體" w:eastAsia="標楷體" w:hAnsi="標楷體" w:cs="標楷體"/>
          <w:sz w:val="28"/>
          <w:szCs w:val="28"/>
        </w:rPr>
        <w:t>2.0</w:t>
      </w:r>
      <w:r>
        <w:rPr>
          <w:rFonts w:ascii="標楷體" w:eastAsia="標楷體" w:hAnsi="標楷體" w:cs="標楷體"/>
          <w:sz w:val="28"/>
          <w:szCs w:val="28"/>
        </w:rPr>
        <w:t>政策、法規及績優獎之宣導；</w:t>
      </w:r>
    </w:p>
    <w:p w:rsidR="00BD51A5" w:rsidRDefault="00A40652">
      <w:pPr>
        <w:pStyle w:val="Standard"/>
        <w:snapToGrid w:val="0"/>
        <w:spacing w:line="460" w:lineRule="exact"/>
        <w:ind w:left="1274" w:hanging="45"/>
        <w:jc w:val="both"/>
        <w:rPr>
          <w:rFonts w:ascii="標楷體" w:eastAsia="標楷體" w:hAnsi="標楷體" w:cs="標楷體"/>
          <w:sz w:val="28"/>
          <w:szCs w:val="28"/>
        </w:rPr>
      </w:pPr>
      <w:r>
        <w:rPr>
          <w:rFonts w:ascii="標楷體" w:eastAsia="標楷體" w:hAnsi="標楷體" w:cs="標楷體"/>
          <w:sz w:val="28"/>
          <w:szCs w:val="28"/>
        </w:rPr>
        <w:t>(3)</w:t>
      </w:r>
      <w:r>
        <w:rPr>
          <w:rFonts w:ascii="標楷體" w:eastAsia="標楷體" w:hAnsi="標楷體" w:cs="標楷體"/>
          <w:sz w:val="28"/>
          <w:szCs w:val="28"/>
        </w:rPr>
        <w:t>辦理</w:t>
      </w:r>
      <w:r>
        <w:rPr>
          <w:rFonts w:ascii="標楷體" w:eastAsia="標楷體" w:hAnsi="標楷體" w:cs="標楷體"/>
          <w:sz w:val="28"/>
          <w:szCs w:val="28"/>
        </w:rPr>
        <w:t>SIEP</w:t>
      </w:r>
      <w:r>
        <w:rPr>
          <w:rFonts w:ascii="標楷體" w:eastAsia="標楷體" w:hAnsi="標楷體" w:cs="標楷體"/>
          <w:sz w:val="28"/>
          <w:szCs w:val="28"/>
        </w:rPr>
        <w:t>補助之彙整與初審；</w:t>
      </w:r>
    </w:p>
    <w:p w:rsidR="00BD51A5" w:rsidRDefault="00A40652">
      <w:pPr>
        <w:pStyle w:val="Standard"/>
        <w:snapToGrid w:val="0"/>
        <w:spacing w:line="460" w:lineRule="exact"/>
        <w:ind w:left="1274" w:hanging="45"/>
        <w:jc w:val="both"/>
        <w:rPr>
          <w:rFonts w:ascii="標楷體" w:eastAsia="標楷體" w:hAnsi="標楷體" w:cs="標楷體"/>
          <w:sz w:val="28"/>
          <w:szCs w:val="28"/>
        </w:rPr>
      </w:pPr>
      <w:r>
        <w:rPr>
          <w:rFonts w:ascii="標楷體" w:eastAsia="標楷體" w:hAnsi="標楷體" w:cs="標楷體"/>
          <w:sz w:val="28"/>
          <w:szCs w:val="28"/>
        </w:rPr>
        <w:t>(4)</w:t>
      </w:r>
      <w:r>
        <w:rPr>
          <w:rFonts w:ascii="標楷體" w:eastAsia="標楷體" w:hAnsi="標楷體" w:cs="標楷體"/>
          <w:sz w:val="28"/>
          <w:szCs w:val="28"/>
        </w:rPr>
        <w:t>辦理國際教育</w:t>
      </w:r>
      <w:r>
        <w:rPr>
          <w:rFonts w:ascii="標楷體" w:eastAsia="標楷體" w:hAnsi="標楷體" w:cs="標楷體"/>
          <w:sz w:val="28"/>
          <w:szCs w:val="28"/>
        </w:rPr>
        <w:t>2.0</w:t>
      </w:r>
      <w:r>
        <w:rPr>
          <w:rFonts w:ascii="標楷體" w:eastAsia="標楷體" w:hAnsi="標楷體" w:cs="標楷體"/>
          <w:sz w:val="28"/>
          <w:szCs w:val="28"/>
        </w:rPr>
        <w:t>成效評估調查；</w:t>
      </w:r>
    </w:p>
    <w:p w:rsidR="00BD51A5" w:rsidRDefault="00A40652">
      <w:pPr>
        <w:pStyle w:val="Standard"/>
        <w:snapToGrid w:val="0"/>
        <w:spacing w:line="460" w:lineRule="exact"/>
        <w:ind w:left="1274" w:hanging="45"/>
        <w:jc w:val="both"/>
        <w:rPr>
          <w:rFonts w:ascii="標楷體" w:eastAsia="標楷體" w:hAnsi="標楷體" w:cs="標楷體"/>
          <w:sz w:val="28"/>
          <w:szCs w:val="28"/>
        </w:rPr>
      </w:pPr>
      <w:r>
        <w:rPr>
          <w:rFonts w:ascii="標楷體" w:eastAsia="標楷體" w:hAnsi="標楷體" w:cs="標楷體"/>
          <w:sz w:val="28"/>
          <w:szCs w:val="28"/>
        </w:rPr>
        <w:t>(5)</w:t>
      </w:r>
      <w:r>
        <w:rPr>
          <w:rFonts w:ascii="標楷體" w:eastAsia="標楷體" w:hAnsi="標楷體" w:cs="標楷體"/>
          <w:sz w:val="28"/>
          <w:szCs w:val="28"/>
        </w:rPr>
        <w:t>辦理中小學教育國際化普查；</w:t>
      </w:r>
    </w:p>
    <w:p w:rsidR="00BD51A5" w:rsidRDefault="00A40652">
      <w:pPr>
        <w:pStyle w:val="Standard"/>
        <w:snapToGrid w:val="0"/>
        <w:spacing w:line="460" w:lineRule="exact"/>
        <w:ind w:left="1274" w:hanging="45"/>
        <w:jc w:val="both"/>
        <w:rPr>
          <w:rFonts w:ascii="標楷體" w:eastAsia="標楷體" w:hAnsi="標楷體" w:cs="標楷體"/>
          <w:sz w:val="28"/>
          <w:szCs w:val="28"/>
        </w:rPr>
      </w:pPr>
      <w:r>
        <w:rPr>
          <w:rFonts w:ascii="標楷體" w:eastAsia="標楷體" w:hAnsi="標楷體" w:cs="標楷體"/>
          <w:sz w:val="28"/>
          <w:szCs w:val="28"/>
        </w:rPr>
        <w:t>(6)</w:t>
      </w:r>
      <w:r>
        <w:rPr>
          <w:rFonts w:ascii="標楷體" w:eastAsia="標楷體" w:hAnsi="標楷體" w:cs="標楷體"/>
          <w:sz w:val="28"/>
          <w:szCs w:val="28"/>
        </w:rPr>
        <w:t>管理國際教育調查普查資料庫與資源分享平臺；</w:t>
      </w:r>
    </w:p>
    <w:p w:rsidR="00BD51A5" w:rsidRDefault="00A40652">
      <w:pPr>
        <w:pStyle w:val="Standard"/>
        <w:snapToGrid w:val="0"/>
        <w:spacing w:line="460" w:lineRule="exact"/>
        <w:ind w:left="1274" w:hanging="45"/>
        <w:jc w:val="both"/>
        <w:rPr>
          <w:rFonts w:ascii="標楷體" w:eastAsia="標楷體" w:hAnsi="標楷體" w:cs="標楷體"/>
          <w:sz w:val="28"/>
          <w:szCs w:val="28"/>
        </w:rPr>
      </w:pPr>
      <w:r>
        <w:rPr>
          <w:rFonts w:ascii="標楷體" w:eastAsia="標楷體" w:hAnsi="標楷體" w:cs="標楷體"/>
          <w:sz w:val="28"/>
          <w:szCs w:val="28"/>
        </w:rPr>
        <w:t>(7)</w:t>
      </w:r>
      <w:r>
        <w:rPr>
          <w:rFonts w:ascii="標楷體" w:eastAsia="標楷體" w:hAnsi="標楷體" w:cs="標楷體"/>
          <w:sz w:val="28"/>
          <w:szCs w:val="28"/>
        </w:rPr>
        <w:t>提出年度工作報告。</w:t>
      </w:r>
    </w:p>
    <w:p w:rsidR="00BD51A5" w:rsidRDefault="00A40652">
      <w:pPr>
        <w:pStyle w:val="Standard"/>
        <w:snapToGrid w:val="0"/>
        <w:spacing w:line="460" w:lineRule="exact"/>
        <w:ind w:left="1040" w:hanging="560"/>
        <w:jc w:val="both"/>
      </w:pPr>
      <w:r>
        <w:rPr>
          <w:rFonts w:ascii="標楷體" w:eastAsia="標楷體" w:hAnsi="標楷體" w:cs="標楷體"/>
          <w:sz w:val="28"/>
          <w:szCs w:val="28"/>
        </w:rPr>
        <w:t>(</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補助地方政府及教育部主管學校依個別條件、資源及需要，訂定各該學</w:t>
      </w:r>
      <w:r>
        <w:rPr>
          <w:rFonts w:ascii="標楷體" w:eastAsia="標楷體" w:hAnsi="標楷體" w:cs="標楷體"/>
          <w:sz w:val="28"/>
          <w:szCs w:val="28"/>
        </w:rPr>
        <w:lastRenderedPageBreak/>
        <w:t>年度實施計畫，辦理國際教育融入國定課程（指以中文授課之部定課程與校訂課程）、雙語課程、國際交流或辦理學校</w:t>
      </w:r>
      <w:r>
        <w:rPr>
          <w:rFonts w:ascii="標楷體" w:eastAsia="標楷體" w:hAnsi="標楷體" w:cs="標楷體"/>
          <w:sz w:val="28"/>
          <w:szCs w:val="28"/>
        </w:rPr>
        <w:t>國際化等工作。</w:t>
      </w:r>
    </w:p>
    <w:p w:rsidR="00BD51A5" w:rsidRDefault="00A40652">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四、為推動及辦理</w:t>
      </w:r>
      <w:r>
        <w:rPr>
          <w:rFonts w:ascii="標楷體" w:eastAsia="標楷體" w:hAnsi="標楷體" w:cs="標楷體"/>
          <w:sz w:val="28"/>
          <w:szCs w:val="28"/>
        </w:rPr>
        <w:t>SIEP</w:t>
      </w:r>
      <w:r>
        <w:rPr>
          <w:rFonts w:ascii="標楷體" w:eastAsia="標楷體" w:hAnsi="標楷體" w:cs="標楷體"/>
          <w:sz w:val="28"/>
          <w:szCs w:val="28"/>
        </w:rPr>
        <w:t>，本署得編製</w:t>
      </w:r>
      <w:r>
        <w:rPr>
          <w:rFonts w:ascii="標楷體" w:eastAsia="標楷體" w:hAnsi="標楷體" w:cs="標楷體"/>
          <w:sz w:val="28"/>
          <w:szCs w:val="28"/>
        </w:rPr>
        <w:t>SIEP</w:t>
      </w:r>
      <w:r>
        <w:rPr>
          <w:rFonts w:ascii="標楷體" w:eastAsia="標楷體" w:hAnsi="標楷體" w:cs="標楷體"/>
          <w:sz w:val="28"/>
          <w:szCs w:val="28"/>
        </w:rPr>
        <w:t>實作手冊，提供實施指引、實施流程、示範案例、補助及獎勵規定等資訊。</w:t>
      </w:r>
    </w:p>
    <w:p w:rsidR="00BD51A5" w:rsidRDefault="00A40652">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地方政府、地方政府主管學校、本署指定任務學校及教育部主管學校，應依前項</w:t>
      </w:r>
      <w:r>
        <w:rPr>
          <w:rFonts w:ascii="標楷體" w:eastAsia="標楷體" w:hAnsi="標楷體" w:cs="標楷體"/>
          <w:sz w:val="28"/>
          <w:szCs w:val="28"/>
        </w:rPr>
        <w:t>SIEP</w:t>
      </w:r>
      <w:r>
        <w:rPr>
          <w:rFonts w:ascii="標楷體" w:eastAsia="標楷體" w:hAnsi="標楷體" w:cs="標楷體"/>
          <w:sz w:val="28"/>
          <w:szCs w:val="28"/>
        </w:rPr>
        <w:t>實作手冊及本要點相關規定，擬具計畫書及經費申請表，依第五點規定提出申請。</w:t>
      </w:r>
    </w:p>
    <w:p w:rsidR="00BD51A5" w:rsidRDefault="00A40652">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項計畫書內容應包括學校基本資料、學年度推動目標、組織分工、工作項目、預期成效等事項；地方政府及本署指定任務學校或相關任務編組之計畫書，除應依前開規定為之，其內容應包括各該轄區各級學校數、學生數、教師</w:t>
      </w:r>
      <w:r>
        <w:rPr>
          <w:rFonts w:ascii="標楷體" w:eastAsia="標楷體" w:hAnsi="標楷體" w:cs="標楷體"/>
          <w:sz w:val="28"/>
          <w:szCs w:val="28"/>
        </w:rPr>
        <w:t>人數等事項。</w:t>
      </w:r>
    </w:p>
    <w:p w:rsidR="00BD51A5" w:rsidRDefault="00A40652">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本署受理地方政府、地方政府主管學校、本署指定任務學校及教育部主管學校申請後，應依</w:t>
      </w:r>
      <w:r>
        <w:rPr>
          <w:rFonts w:ascii="標楷體" w:eastAsia="標楷體" w:hAnsi="標楷體" w:cs="標楷體"/>
          <w:sz w:val="28"/>
          <w:szCs w:val="28"/>
        </w:rPr>
        <w:t>SIEP</w:t>
      </w:r>
      <w:r>
        <w:rPr>
          <w:rFonts w:ascii="標楷體" w:eastAsia="標楷體" w:hAnsi="標楷體" w:cs="標楷體"/>
          <w:sz w:val="28"/>
          <w:szCs w:val="28"/>
        </w:rPr>
        <w:t>實作手冊審查之。</w:t>
      </w:r>
    </w:p>
    <w:p w:rsidR="00BD51A5" w:rsidRDefault="00A40652">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五、地方政府、地方政府主管學校、本署指定任務學校及教育部主管學校推動及辦理</w:t>
      </w:r>
      <w:r>
        <w:rPr>
          <w:rFonts w:ascii="標楷體" w:eastAsia="標楷體" w:hAnsi="標楷體" w:cs="標楷體"/>
          <w:sz w:val="28"/>
          <w:szCs w:val="28"/>
        </w:rPr>
        <w:t>SIEP</w:t>
      </w:r>
      <w:r>
        <w:rPr>
          <w:rFonts w:ascii="標楷體" w:eastAsia="標楷體" w:hAnsi="標楷體" w:cs="標楷體"/>
          <w:sz w:val="28"/>
          <w:szCs w:val="28"/>
        </w:rPr>
        <w:t>，其經費補助之項目及其經費上限，分為以下四款類別：</w:t>
      </w:r>
    </w:p>
    <w:p w:rsidR="00BD51A5" w:rsidRDefault="00A40652">
      <w:pPr>
        <w:pStyle w:val="Standard"/>
        <w:snapToGrid w:val="0"/>
        <w:spacing w:line="460" w:lineRule="exact"/>
        <w:ind w:left="1040" w:hanging="560"/>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一</w:t>
      </w:r>
      <w:r>
        <w:rPr>
          <w:rFonts w:ascii="標楷體" w:eastAsia="標楷體" w:hAnsi="標楷體" w:cs="標楷體"/>
          <w:sz w:val="28"/>
          <w:szCs w:val="28"/>
        </w:rPr>
        <w:t>)</w:t>
      </w:r>
      <w:r>
        <w:rPr>
          <w:rFonts w:ascii="標楷體" w:eastAsia="標楷體" w:hAnsi="標楷體" w:cs="標楷體"/>
          <w:sz w:val="28"/>
          <w:szCs w:val="28"/>
        </w:rPr>
        <w:t>地方政府及本署指定任務學校或相關任務編組辦理國際教育地方培力團或國際教育行政支援窗口任務，每項任務工作經費每學年最高核給三十萬元。</w:t>
      </w:r>
    </w:p>
    <w:p w:rsidR="00BD51A5" w:rsidRDefault="00A40652">
      <w:pPr>
        <w:pStyle w:val="Standard"/>
        <w:snapToGrid w:val="0"/>
        <w:spacing w:line="460" w:lineRule="exact"/>
        <w:ind w:left="1040" w:hanging="560"/>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地方政府主管學校及教育部主管學校辦理國際教育融入國定課程、國際教育融入雙語課程，最高核定二十萬元。</w:t>
      </w:r>
    </w:p>
    <w:p w:rsidR="00BD51A5" w:rsidRDefault="00A40652">
      <w:pPr>
        <w:pStyle w:val="Standard"/>
        <w:snapToGrid w:val="0"/>
        <w:spacing w:line="460" w:lineRule="exact"/>
        <w:ind w:left="1040" w:hanging="560"/>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三</w:t>
      </w:r>
      <w:r>
        <w:rPr>
          <w:rFonts w:ascii="標楷體" w:eastAsia="標楷體" w:hAnsi="標楷體" w:cs="標楷體"/>
          <w:sz w:val="28"/>
          <w:szCs w:val="28"/>
        </w:rPr>
        <w:t>)</w:t>
      </w:r>
      <w:r>
        <w:rPr>
          <w:rFonts w:ascii="標楷體" w:eastAsia="標楷體" w:hAnsi="標楷體" w:cs="標楷體"/>
          <w:sz w:val="28"/>
          <w:szCs w:val="28"/>
        </w:rPr>
        <w:t>地方政府主管學校及教育部主管學校辦理國際交流</w:t>
      </w:r>
      <w:r>
        <w:rPr>
          <w:rFonts w:ascii="標楷體" w:eastAsia="標楷體" w:hAnsi="標楷體" w:cs="標楷體"/>
          <w:sz w:val="28"/>
          <w:szCs w:val="28"/>
        </w:rPr>
        <w:t>(</w:t>
      </w:r>
      <w:r>
        <w:rPr>
          <w:rFonts w:ascii="標楷體" w:eastAsia="標楷體" w:hAnsi="標楷體" w:cs="標楷體"/>
          <w:sz w:val="28"/>
          <w:szCs w:val="28"/>
        </w:rPr>
        <w:t>包括外國學校師生來訪、本國學校師生出訪、國際網路交流方案、參與國際會議及競賽、外籍人士入校志工服務；惟不含前往或接待香港、澳門及大陸地區之國際教育活動</w:t>
      </w:r>
      <w:r>
        <w:rPr>
          <w:rFonts w:ascii="標楷體" w:eastAsia="標楷體" w:hAnsi="標楷體" w:cs="標楷體"/>
          <w:sz w:val="28"/>
          <w:szCs w:val="28"/>
        </w:rPr>
        <w:t>)</w:t>
      </w:r>
      <w:r>
        <w:rPr>
          <w:rFonts w:ascii="標楷體" w:eastAsia="標楷體" w:hAnsi="標楷體" w:cs="標楷體"/>
          <w:sz w:val="28"/>
          <w:szCs w:val="28"/>
        </w:rPr>
        <w:t>每學年最高核定五十萬元。</w:t>
      </w:r>
    </w:p>
    <w:p w:rsidR="00BD51A5" w:rsidRDefault="00A40652">
      <w:pPr>
        <w:pStyle w:val="Standard"/>
        <w:snapToGrid w:val="0"/>
        <w:spacing w:line="460" w:lineRule="exact"/>
        <w:ind w:left="1040" w:hanging="560"/>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四</w:t>
      </w:r>
      <w:r>
        <w:rPr>
          <w:rFonts w:ascii="標楷體" w:eastAsia="標楷體" w:hAnsi="標楷體" w:cs="標楷體"/>
          <w:sz w:val="28"/>
          <w:szCs w:val="28"/>
        </w:rPr>
        <w:t>)</w:t>
      </w:r>
      <w:r>
        <w:rPr>
          <w:rFonts w:ascii="標楷體" w:eastAsia="標楷體" w:hAnsi="標楷體" w:cs="標楷體"/>
          <w:sz w:val="28"/>
          <w:szCs w:val="28"/>
        </w:rPr>
        <w:t>地方政府主管學校及教育部主管學校辦理學校國際化</w:t>
      </w:r>
      <w:r>
        <w:rPr>
          <w:rFonts w:ascii="標楷體" w:eastAsia="標楷體" w:hAnsi="標楷體" w:cs="標楷體"/>
          <w:sz w:val="28"/>
          <w:szCs w:val="28"/>
        </w:rPr>
        <w:t>(</w:t>
      </w:r>
      <w:r>
        <w:rPr>
          <w:rFonts w:ascii="標楷體" w:eastAsia="標楷體" w:hAnsi="標楷體" w:cs="標楷體"/>
          <w:sz w:val="28"/>
          <w:szCs w:val="28"/>
        </w:rPr>
        <w:t>包括國際化目標及特色、校園化、人力國際化、行政國際化、課程國際化、國際夥伴關係</w:t>
      </w:r>
      <w:r>
        <w:rPr>
          <w:rFonts w:ascii="標楷體" w:eastAsia="標楷體" w:hAnsi="標楷體" w:cs="標楷體"/>
          <w:sz w:val="28"/>
          <w:szCs w:val="28"/>
        </w:rPr>
        <w:t>)</w:t>
      </w:r>
      <w:r>
        <w:rPr>
          <w:rFonts w:ascii="標楷體" w:eastAsia="標楷體" w:hAnsi="標楷體" w:cs="標楷體"/>
          <w:sz w:val="28"/>
          <w:szCs w:val="28"/>
        </w:rPr>
        <w:t>，依國際化指標達成程度分為初階、進階及高階，每校每階限申請一次，每階最高核定二十萬元。</w:t>
      </w:r>
    </w:p>
    <w:p w:rsidR="00BD51A5" w:rsidRDefault="00A40652">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六、前點第三款規定地方政府主管學校及教育部主管學校辦理國際</w:t>
      </w:r>
      <w:r>
        <w:rPr>
          <w:rFonts w:ascii="標楷體" w:eastAsia="標楷體" w:hAnsi="標楷體" w:cs="標楷體"/>
          <w:sz w:val="28"/>
          <w:szCs w:val="28"/>
        </w:rPr>
        <w:t>交流補助之項目，其補助基準如下：</w:t>
      </w:r>
    </w:p>
    <w:p w:rsidR="00BD51A5" w:rsidRDefault="00A40652">
      <w:pPr>
        <w:pStyle w:val="Standard"/>
        <w:snapToGrid w:val="0"/>
        <w:spacing w:line="460" w:lineRule="exact"/>
        <w:ind w:left="1040" w:hanging="560"/>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一</w:t>
      </w:r>
      <w:r>
        <w:rPr>
          <w:rFonts w:ascii="標楷體" w:eastAsia="標楷體" w:hAnsi="標楷體" w:cs="標楷體"/>
          <w:sz w:val="28"/>
          <w:szCs w:val="28"/>
        </w:rPr>
        <w:t>)</w:t>
      </w:r>
      <w:r>
        <w:rPr>
          <w:rFonts w:ascii="標楷體" w:eastAsia="標楷體" w:hAnsi="標楷體" w:cs="標楷體"/>
          <w:sz w:val="28"/>
          <w:szCs w:val="28"/>
        </w:rPr>
        <w:t>辦理外國學校師生來訪：</w:t>
      </w:r>
    </w:p>
    <w:p w:rsidR="00BD51A5" w:rsidRDefault="00A40652">
      <w:pPr>
        <w:pStyle w:val="Standard"/>
        <w:snapToGrid w:val="0"/>
        <w:spacing w:line="460" w:lineRule="exact"/>
        <w:ind w:left="1133" w:hanging="283"/>
        <w:jc w:val="both"/>
        <w:rPr>
          <w:rFonts w:ascii="標楷體" w:eastAsia="標楷體" w:hAnsi="標楷體" w:cs="標楷體"/>
          <w:sz w:val="28"/>
          <w:szCs w:val="28"/>
        </w:rPr>
      </w:pPr>
      <w:r>
        <w:rPr>
          <w:rFonts w:ascii="標楷體" w:eastAsia="標楷體" w:hAnsi="標楷體" w:cs="標楷體"/>
          <w:sz w:val="28"/>
          <w:szCs w:val="28"/>
        </w:rPr>
        <w:lastRenderedPageBreak/>
        <w:t>1.</w:t>
      </w:r>
      <w:r>
        <w:rPr>
          <w:rFonts w:ascii="標楷體" w:eastAsia="標楷體" w:hAnsi="標楷體" w:cs="標楷體"/>
          <w:sz w:val="28"/>
          <w:szCs w:val="28"/>
        </w:rPr>
        <w:t>以接待團體十人至二十人為原則。但情形特殊，敘明理由並經其教育主管機關同意者，不在此限。</w:t>
      </w:r>
    </w:p>
    <w:p w:rsidR="00BD51A5" w:rsidRDefault="00A40652">
      <w:pPr>
        <w:pStyle w:val="Standard"/>
        <w:snapToGrid w:val="0"/>
        <w:spacing w:line="460" w:lineRule="exact"/>
        <w:ind w:left="1133" w:hanging="283"/>
        <w:jc w:val="both"/>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sz w:val="28"/>
          <w:szCs w:val="28"/>
        </w:rPr>
        <w:t>每案依接待人數及天數，補助行政費及辦理相關活動之業務費。</w:t>
      </w:r>
    </w:p>
    <w:p w:rsidR="00BD51A5" w:rsidRDefault="00A40652">
      <w:pPr>
        <w:pStyle w:val="Standard"/>
        <w:snapToGrid w:val="0"/>
        <w:spacing w:line="460" w:lineRule="exact"/>
        <w:ind w:left="1040" w:hanging="560"/>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辦理本國學校師生出訪：</w:t>
      </w:r>
    </w:p>
    <w:p w:rsidR="00BD51A5" w:rsidRDefault="00A40652">
      <w:pPr>
        <w:pStyle w:val="Standard"/>
        <w:snapToGrid w:val="0"/>
        <w:spacing w:line="460" w:lineRule="exact"/>
        <w:ind w:left="1133" w:hanging="283"/>
        <w:jc w:val="both"/>
        <w:rPr>
          <w:rFonts w:ascii="標楷體" w:eastAsia="標楷體" w:hAnsi="標楷體" w:cs="標楷體"/>
          <w:sz w:val="28"/>
          <w:szCs w:val="28"/>
        </w:rPr>
      </w:pPr>
      <w:r>
        <w:rPr>
          <w:rFonts w:ascii="標楷體" w:eastAsia="標楷體" w:hAnsi="標楷體" w:cs="標楷體"/>
          <w:sz w:val="28"/>
          <w:szCs w:val="28"/>
        </w:rPr>
        <w:t>1.</w:t>
      </w:r>
      <w:r>
        <w:rPr>
          <w:rFonts w:ascii="標楷體" w:eastAsia="標楷體" w:hAnsi="標楷體" w:cs="標楷體"/>
          <w:sz w:val="28"/>
          <w:szCs w:val="28"/>
        </w:rPr>
        <w:t>補助出訪交流活動每團學生數至少十五人，每十五位學生得配置一位隨隊輔導老師，補助其全額團費。</w:t>
      </w:r>
    </w:p>
    <w:p w:rsidR="00BD51A5" w:rsidRDefault="00A40652">
      <w:pPr>
        <w:pStyle w:val="Standard"/>
        <w:snapToGrid w:val="0"/>
        <w:spacing w:line="460" w:lineRule="exact"/>
        <w:ind w:left="1133" w:hanging="283"/>
        <w:jc w:val="both"/>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sz w:val="28"/>
          <w:szCs w:val="28"/>
        </w:rPr>
        <w:t>符合經濟弱勢學生扶助資格者（指具有低收入戶證明文件者），參加海外交流活動之全額補助名額，每團學生人數每十二人可包括二位經濟弱勢學生。</w:t>
      </w:r>
    </w:p>
    <w:p w:rsidR="00BD51A5" w:rsidRDefault="00A40652">
      <w:pPr>
        <w:pStyle w:val="Standard"/>
        <w:snapToGrid w:val="0"/>
        <w:spacing w:line="460" w:lineRule="exact"/>
        <w:ind w:left="1133" w:hanging="283"/>
        <w:jc w:val="both"/>
        <w:rPr>
          <w:rFonts w:ascii="標楷體" w:eastAsia="標楷體" w:hAnsi="標楷體" w:cs="標楷體"/>
          <w:sz w:val="28"/>
          <w:szCs w:val="28"/>
        </w:rPr>
      </w:pPr>
      <w:r>
        <w:rPr>
          <w:rFonts w:ascii="標楷體" w:eastAsia="標楷體" w:hAnsi="標楷體" w:cs="標楷體"/>
          <w:sz w:val="28"/>
          <w:szCs w:val="28"/>
        </w:rPr>
        <w:t>3.</w:t>
      </w:r>
      <w:r>
        <w:rPr>
          <w:rFonts w:ascii="標楷體" w:eastAsia="標楷體" w:hAnsi="標楷體" w:cs="標楷體"/>
          <w:sz w:val="28"/>
          <w:szCs w:val="28"/>
        </w:rPr>
        <w:t>出訪交流活動之補助，以辦理互訪交流及落地接待者為優先。</w:t>
      </w:r>
    </w:p>
    <w:p w:rsidR="00BD51A5" w:rsidRDefault="00A40652">
      <w:pPr>
        <w:pStyle w:val="Standard"/>
        <w:snapToGrid w:val="0"/>
        <w:spacing w:line="460" w:lineRule="exact"/>
        <w:ind w:left="1133" w:hanging="283"/>
        <w:jc w:val="both"/>
        <w:rPr>
          <w:rFonts w:ascii="標楷體" w:eastAsia="標楷體" w:hAnsi="標楷體" w:cs="標楷體"/>
          <w:sz w:val="28"/>
          <w:szCs w:val="28"/>
        </w:rPr>
      </w:pPr>
      <w:r>
        <w:rPr>
          <w:rFonts w:ascii="標楷體" w:eastAsia="標楷體" w:hAnsi="標楷體" w:cs="標楷體"/>
          <w:sz w:val="28"/>
          <w:szCs w:val="28"/>
        </w:rPr>
        <w:t>4.</w:t>
      </w:r>
      <w:r>
        <w:rPr>
          <w:rFonts w:ascii="標楷體" w:eastAsia="標楷體" w:hAnsi="標楷體" w:cs="標楷體"/>
          <w:sz w:val="28"/>
          <w:szCs w:val="28"/>
        </w:rPr>
        <w:t>海外交流活動，短期以二週至四週、長期以一學期、最長不超過一學年為原則。其中於海外定點學校或機構學習及交流課程之時間，不得低於總行程扣除交通往返時間之二分之一；海外技能實習定點學校或機構實習及交流課程之時間計算方式，亦同。</w:t>
      </w:r>
    </w:p>
    <w:p w:rsidR="00BD51A5" w:rsidRDefault="00A40652">
      <w:pPr>
        <w:pStyle w:val="Standard"/>
        <w:snapToGrid w:val="0"/>
        <w:spacing w:line="460" w:lineRule="exact"/>
        <w:ind w:left="1133" w:hanging="283"/>
        <w:jc w:val="both"/>
        <w:rPr>
          <w:rFonts w:ascii="標楷體" w:eastAsia="標楷體" w:hAnsi="標楷體" w:cs="標楷體"/>
          <w:sz w:val="28"/>
          <w:szCs w:val="28"/>
        </w:rPr>
      </w:pPr>
      <w:r>
        <w:rPr>
          <w:rFonts w:ascii="標楷體" w:eastAsia="標楷體" w:hAnsi="標楷體" w:cs="標楷體"/>
          <w:sz w:val="28"/>
          <w:szCs w:val="28"/>
        </w:rPr>
        <w:t>5.</w:t>
      </w:r>
      <w:r>
        <w:rPr>
          <w:rFonts w:ascii="標楷體" w:eastAsia="標楷體" w:hAnsi="標楷體" w:cs="標楷體"/>
          <w:sz w:val="28"/>
          <w:szCs w:val="28"/>
        </w:rPr>
        <w:t>學生機票費：</w:t>
      </w:r>
    </w:p>
    <w:p w:rsidR="00BD51A5" w:rsidRDefault="00A40652">
      <w:pPr>
        <w:pStyle w:val="Standard"/>
        <w:snapToGrid w:val="0"/>
        <w:spacing w:line="460" w:lineRule="exact"/>
        <w:ind w:left="1559" w:hanging="429"/>
        <w:jc w:val="both"/>
        <w:rPr>
          <w:rFonts w:ascii="標楷體" w:eastAsia="標楷體" w:hAnsi="標楷體" w:cs="標楷體"/>
          <w:sz w:val="28"/>
          <w:szCs w:val="28"/>
        </w:rPr>
      </w:pPr>
      <w:r>
        <w:rPr>
          <w:rFonts w:ascii="標楷體" w:eastAsia="標楷體" w:hAnsi="標楷體" w:cs="標楷體"/>
          <w:sz w:val="28"/>
          <w:szCs w:val="28"/>
        </w:rPr>
        <w:t>(1)</w:t>
      </w:r>
      <w:r>
        <w:rPr>
          <w:rFonts w:ascii="標楷體" w:eastAsia="標楷體" w:hAnsi="標楷體" w:cs="標楷體"/>
          <w:sz w:val="28"/>
          <w:szCs w:val="28"/>
        </w:rPr>
        <w:t>辦理體驗學習、國際志工服務、姊妹校交流、教育專題、國際師生交換、其他國際交流活動者，每名學生機票補助上限分別為東北亞新臺幣六千元，東南亞新臺幣四千元，歐洲新臺幣二萬元，美國、加拿大、澳洲及紐西蘭各新臺幣</w:t>
      </w:r>
      <w:r>
        <w:rPr>
          <w:rFonts w:ascii="標楷體" w:eastAsia="標楷體" w:hAnsi="標楷體" w:cs="標楷體"/>
          <w:sz w:val="28"/>
          <w:szCs w:val="28"/>
        </w:rPr>
        <w:t>一萬八千元，其他地區不得超過機票費之一半。</w:t>
      </w:r>
    </w:p>
    <w:p w:rsidR="00BD51A5" w:rsidRDefault="00A40652">
      <w:pPr>
        <w:pStyle w:val="Standard"/>
        <w:snapToGrid w:val="0"/>
        <w:spacing w:line="460" w:lineRule="exact"/>
        <w:ind w:left="1587" w:right="113" w:hanging="454"/>
        <w:jc w:val="both"/>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sz w:val="28"/>
          <w:szCs w:val="28"/>
        </w:rPr>
        <w:t>辦理海外技能實習活動者，每名學生機票補助分別為東北亞新臺幣一萬二千元、東南亞新臺幣八千元、歐洲新臺幣四萬元，美國、加拿大、澳洲及紐西蘭各新臺幣三萬六千元，且以不超過機票費全額為原則。</w:t>
      </w:r>
    </w:p>
    <w:p w:rsidR="00BD51A5" w:rsidRDefault="00A40652">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七、經費補助申請程序如下：</w:t>
      </w:r>
    </w:p>
    <w:p w:rsidR="00BD51A5" w:rsidRDefault="00A40652">
      <w:pPr>
        <w:pStyle w:val="Standard"/>
        <w:snapToGrid w:val="0"/>
        <w:spacing w:line="460" w:lineRule="exact"/>
        <w:ind w:left="1040" w:hanging="560"/>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一</w:t>
      </w:r>
      <w:r>
        <w:rPr>
          <w:rFonts w:ascii="標楷體" w:eastAsia="標楷體" w:hAnsi="標楷體" w:cs="標楷體"/>
          <w:sz w:val="28"/>
          <w:szCs w:val="28"/>
        </w:rPr>
        <w:t>)</w:t>
      </w:r>
      <w:r>
        <w:rPr>
          <w:rFonts w:ascii="標楷體" w:eastAsia="標楷體" w:hAnsi="標楷體" w:cs="標楷體"/>
          <w:sz w:val="28"/>
          <w:szCs w:val="28"/>
        </w:rPr>
        <w:t>地方政府及本署指定任務學校或相關任務編組申請推動工作經費，應於每年十一月三十日前，將國際教育地方培力團及國際教育行政支援窗口工作計畫書及經費申請表函報本署。</w:t>
      </w:r>
    </w:p>
    <w:p w:rsidR="00BD51A5" w:rsidRDefault="00A40652">
      <w:pPr>
        <w:pStyle w:val="Standard"/>
        <w:snapToGrid w:val="0"/>
        <w:spacing w:line="460" w:lineRule="exact"/>
        <w:ind w:left="1040" w:hanging="560"/>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地方政府主管學校及教育部主管學校申請國際教育融入國定課程、國際教育融入雙語課程、</w:t>
      </w:r>
      <w:r>
        <w:rPr>
          <w:rFonts w:ascii="標楷體" w:eastAsia="標楷體" w:hAnsi="標楷體" w:cs="標楷體"/>
          <w:sz w:val="28"/>
          <w:szCs w:val="28"/>
        </w:rPr>
        <w:t>國際交流、學校國際化之經費，依下列程序辦理申請：</w:t>
      </w:r>
    </w:p>
    <w:p w:rsidR="00BD51A5" w:rsidRDefault="00A40652">
      <w:pPr>
        <w:pStyle w:val="Standard"/>
        <w:snapToGrid w:val="0"/>
        <w:spacing w:line="460" w:lineRule="exact"/>
        <w:ind w:left="1133" w:hanging="283"/>
        <w:jc w:val="both"/>
      </w:pPr>
      <w:r>
        <w:rPr>
          <w:rFonts w:ascii="標楷體" w:eastAsia="標楷體" w:hAnsi="標楷體" w:cs="標楷體"/>
          <w:sz w:val="28"/>
          <w:szCs w:val="28"/>
        </w:rPr>
        <w:lastRenderedPageBreak/>
        <w:t>1.</w:t>
      </w:r>
      <w:r>
        <w:rPr>
          <w:rFonts w:ascii="標楷體" w:eastAsia="標楷體" w:hAnsi="標楷體" w:cs="標楷體"/>
          <w:sz w:val="28"/>
          <w:szCs w:val="28"/>
        </w:rPr>
        <w:t>地方政府主管學校：於每年二月底前向地方政府之國際教育行政支援窗口提送</w:t>
      </w:r>
      <w:r>
        <w:rPr>
          <w:rFonts w:ascii="標楷體" w:eastAsia="標楷體" w:hAnsi="標楷體" w:cs="標楷體"/>
          <w:sz w:val="28"/>
          <w:szCs w:val="28"/>
        </w:rPr>
        <w:t>SIEP</w:t>
      </w:r>
      <w:r>
        <w:rPr>
          <w:rFonts w:ascii="標楷體" w:eastAsia="標楷體" w:hAnsi="標楷體" w:cs="標楷體"/>
          <w:sz w:val="28"/>
          <w:szCs w:val="28"/>
        </w:rPr>
        <w:t>申請表件。地方政府於每年三月三十一日前完成初審，排列優先順序後函報本署。</w:t>
      </w:r>
    </w:p>
    <w:p w:rsidR="00BD51A5" w:rsidRDefault="00A40652">
      <w:pPr>
        <w:pStyle w:val="Standard"/>
        <w:snapToGrid w:val="0"/>
        <w:spacing w:line="460" w:lineRule="exact"/>
        <w:ind w:left="1133" w:hanging="283"/>
        <w:jc w:val="both"/>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sz w:val="28"/>
          <w:szCs w:val="28"/>
        </w:rPr>
        <w:t>教育部主管學校：於每年二月底前向本署任務學校提送</w:t>
      </w:r>
      <w:r>
        <w:rPr>
          <w:rFonts w:ascii="標楷體" w:eastAsia="標楷體" w:hAnsi="標楷體" w:cs="標楷體"/>
          <w:sz w:val="28"/>
          <w:szCs w:val="28"/>
        </w:rPr>
        <w:t>SIEP</w:t>
      </w:r>
      <w:r>
        <w:rPr>
          <w:rFonts w:ascii="標楷體" w:eastAsia="標楷體" w:hAnsi="標楷體" w:cs="標楷體"/>
          <w:sz w:val="28"/>
          <w:szCs w:val="28"/>
        </w:rPr>
        <w:t>申請表件。本署任務學校於每年三月三十一日前彙整函報本署。</w:t>
      </w:r>
    </w:p>
    <w:p w:rsidR="00BD51A5" w:rsidRDefault="00A40652">
      <w:pPr>
        <w:pStyle w:val="Standard"/>
        <w:snapToGrid w:val="0"/>
        <w:spacing w:line="460" w:lineRule="exact"/>
        <w:ind w:left="560" w:hanging="560"/>
        <w:jc w:val="both"/>
        <w:rPr>
          <w:rFonts w:ascii="標楷體" w:eastAsia="標楷體" w:hAnsi="標楷體" w:cs="標楷體"/>
          <w:sz w:val="28"/>
          <w:szCs w:val="28"/>
        </w:rPr>
      </w:pPr>
      <w:r>
        <w:rPr>
          <w:rFonts w:ascii="標楷體" w:eastAsia="標楷體" w:hAnsi="標楷體" w:cs="標楷體"/>
          <w:sz w:val="28"/>
          <w:szCs w:val="28"/>
        </w:rPr>
        <w:t>八、地方政府主管學校及教育部主管學校採跨校合作方式申請同一類別補助者，應由一所學校提出；分別提出申請者，不予受理。</w:t>
      </w:r>
    </w:p>
    <w:p w:rsidR="00BD51A5" w:rsidRDefault="00A40652">
      <w:pPr>
        <w:pStyle w:val="Standard"/>
        <w:snapToGrid w:val="0"/>
        <w:spacing w:line="460" w:lineRule="exact"/>
        <w:ind w:left="566" w:hanging="566"/>
        <w:jc w:val="both"/>
        <w:rPr>
          <w:rFonts w:ascii="標楷體" w:eastAsia="標楷體" w:hAnsi="標楷體" w:cs="標楷體"/>
          <w:sz w:val="28"/>
          <w:szCs w:val="28"/>
        </w:rPr>
      </w:pPr>
      <w:r>
        <w:rPr>
          <w:rFonts w:ascii="標楷體" w:eastAsia="標楷體" w:hAnsi="標楷體" w:cs="標楷體"/>
          <w:sz w:val="28"/>
          <w:szCs w:val="28"/>
        </w:rPr>
        <w:t>九、本署於每年十二月進行地方政府及本署指定任務學校之補助經費審查，並於十二月底前通知下一學年度核定補助金額。</w:t>
      </w:r>
    </w:p>
    <w:p w:rsidR="00BD51A5" w:rsidRDefault="00A40652">
      <w:pPr>
        <w:pStyle w:val="Standard"/>
        <w:snapToGrid w:val="0"/>
        <w:spacing w:line="460" w:lineRule="exact"/>
        <w:ind w:left="566" w:hanging="566"/>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本署於每年四至五月進行其他學校申請經費補助審查，並於五月底前將計畫審查結果及核定補助金額函知地方政府及教育部主管學校。</w:t>
      </w:r>
    </w:p>
    <w:p w:rsidR="00BD51A5" w:rsidRDefault="00A40652">
      <w:pPr>
        <w:pStyle w:val="Standard"/>
        <w:snapToGrid w:val="0"/>
        <w:spacing w:line="460" w:lineRule="exact"/>
        <w:jc w:val="both"/>
        <w:rPr>
          <w:rFonts w:ascii="標楷體" w:eastAsia="標楷體" w:hAnsi="標楷體" w:cs="標楷體"/>
          <w:sz w:val="28"/>
          <w:szCs w:val="28"/>
        </w:rPr>
      </w:pPr>
      <w:r>
        <w:rPr>
          <w:rFonts w:ascii="標楷體" w:eastAsia="標楷體" w:hAnsi="標楷體" w:cs="標楷體"/>
          <w:sz w:val="28"/>
          <w:szCs w:val="28"/>
        </w:rPr>
        <w:t>十、本要點之經費補助審查應符合以下原則：</w:t>
      </w:r>
    </w:p>
    <w:p w:rsidR="00BD51A5" w:rsidRDefault="00A40652">
      <w:pPr>
        <w:pStyle w:val="Standard"/>
        <w:snapToGrid w:val="0"/>
        <w:spacing w:line="460" w:lineRule="exact"/>
        <w:ind w:left="1040" w:hanging="560"/>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一</w:t>
      </w:r>
      <w:r>
        <w:rPr>
          <w:rFonts w:ascii="標楷體" w:eastAsia="標楷體" w:hAnsi="標楷體" w:cs="標楷體"/>
          <w:sz w:val="28"/>
          <w:szCs w:val="28"/>
        </w:rPr>
        <w:t>)</w:t>
      </w:r>
      <w:r>
        <w:rPr>
          <w:rFonts w:ascii="標楷體" w:eastAsia="標楷體" w:hAnsi="標楷體" w:cs="標楷體"/>
          <w:sz w:val="28"/>
          <w:szCs w:val="28"/>
        </w:rPr>
        <w:t>普及性：補助應區分一般學校及偏鄉學校、一般學生及弱勢學生，保障偏鄉及弱勢之補助。</w:t>
      </w:r>
    </w:p>
    <w:p w:rsidR="00BD51A5" w:rsidRDefault="00A40652">
      <w:pPr>
        <w:pStyle w:val="Standard"/>
        <w:snapToGrid w:val="0"/>
        <w:spacing w:line="460" w:lineRule="exact"/>
        <w:ind w:left="1040" w:hanging="560"/>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全面性：補助應依據學制區分，全面照顧各級學校。</w:t>
      </w:r>
    </w:p>
    <w:p w:rsidR="00BD51A5" w:rsidRDefault="00A40652">
      <w:pPr>
        <w:pStyle w:val="Standard"/>
        <w:snapToGrid w:val="0"/>
        <w:spacing w:line="460" w:lineRule="exact"/>
        <w:ind w:left="1040" w:hanging="560"/>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三</w:t>
      </w:r>
      <w:r>
        <w:rPr>
          <w:rFonts w:ascii="標楷體" w:eastAsia="標楷體" w:hAnsi="標楷體" w:cs="標楷體"/>
          <w:sz w:val="28"/>
          <w:szCs w:val="28"/>
        </w:rPr>
        <w:t>)</w:t>
      </w:r>
      <w:r>
        <w:rPr>
          <w:rFonts w:ascii="標楷體" w:eastAsia="標楷體" w:hAnsi="標楷體" w:cs="標楷體"/>
          <w:sz w:val="28"/>
          <w:szCs w:val="28"/>
        </w:rPr>
        <w:t>衡平性：補助應依據地方政府財力及規模區分，確保全國國際教育資源提供之公平性。</w:t>
      </w:r>
    </w:p>
    <w:p w:rsidR="00BD51A5" w:rsidRDefault="00A40652">
      <w:pPr>
        <w:pStyle w:val="Standard"/>
        <w:snapToGrid w:val="0"/>
        <w:spacing w:line="460" w:lineRule="exact"/>
        <w:ind w:left="851" w:hanging="846"/>
        <w:jc w:val="both"/>
        <w:rPr>
          <w:rFonts w:ascii="標楷體" w:eastAsia="標楷體" w:hAnsi="標楷體" w:cs="標楷體"/>
          <w:sz w:val="28"/>
          <w:szCs w:val="28"/>
        </w:rPr>
      </w:pPr>
      <w:r>
        <w:rPr>
          <w:rFonts w:ascii="標楷體" w:eastAsia="標楷體" w:hAnsi="標楷體" w:cs="標楷體"/>
          <w:sz w:val="28"/>
          <w:szCs w:val="28"/>
        </w:rPr>
        <w:t>十一、申請案有下列情形之一者，不予補助：</w:t>
      </w:r>
    </w:p>
    <w:p w:rsidR="00BD51A5" w:rsidRDefault="00A40652">
      <w:pPr>
        <w:pStyle w:val="Standard"/>
        <w:snapToGrid w:val="0"/>
        <w:spacing w:line="460" w:lineRule="exact"/>
        <w:ind w:left="1416" w:hanging="566"/>
        <w:jc w:val="both"/>
      </w:pPr>
      <w:r>
        <w:rPr>
          <w:rFonts w:ascii="標楷體" w:eastAsia="標楷體" w:hAnsi="標楷體" w:cs="標楷體"/>
          <w:sz w:val="28"/>
          <w:szCs w:val="28"/>
        </w:rPr>
        <w:t>(</w:t>
      </w:r>
      <w:r>
        <w:rPr>
          <w:rFonts w:ascii="標楷體" w:eastAsia="標楷體" w:hAnsi="標楷體" w:cs="標楷體"/>
          <w:sz w:val="28"/>
          <w:szCs w:val="28"/>
        </w:rPr>
        <w:t>一</w:t>
      </w:r>
      <w:r>
        <w:rPr>
          <w:rFonts w:ascii="標楷體" w:eastAsia="標楷體" w:hAnsi="標楷體" w:cs="標楷體"/>
          <w:sz w:val="28"/>
          <w:szCs w:val="28"/>
        </w:rPr>
        <w:t>)</w:t>
      </w:r>
      <w:r>
        <w:rPr>
          <w:rFonts w:ascii="標楷體" w:eastAsia="標楷體" w:hAnsi="標楷體" w:cs="標楷體"/>
          <w:sz w:val="28"/>
          <w:szCs w:val="28"/>
        </w:rPr>
        <w:t>舉辦同性質活動已獲本署、地方政府或其他政府機關補助。</w:t>
      </w:r>
    </w:p>
    <w:p w:rsidR="00BD51A5" w:rsidRDefault="00A40652">
      <w:pPr>
        <w:pStyle w:val="Standard"/>
        <w:snapToGrid w:val="0"/>
        <w:spacing w:line="460" w:lineRule="exact"/>
        <w:ind w:left="1416" w:hanging="566"/>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未依核定之計畫辦理活動或收費。</w:t>
      </w:r>
    </w:p>
    <w:p w:rsidR="00BD51A5" w:rsidRDefault="00A40652">
      <w:pPr>
        <w:pStyle w:val="Standard"/>
        <w:snapToGrid w:val="0"/>
        <w:spacing w:line="460" w:lineRule="exact"/>
        <w:ind w:left="1416" w:hanging="566"/>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三</w:t>
      </w:r>
      <w:r>
        <w:rPr>
          <w:rFonts w:ascii="標楷體" w:eastAsia="標楷體" w:hAnsi="標楷體" w:cs="標楷體"/>
          <w:sz w:val="28"/>
          <w:szCs w:val="28"/>
        </w:rPr>
        <w:t>)</w:t>
      </w:r>
      <w:r>
        <w:rPr>
          <w:rFonts w:ascii="標楷體" w:eastAsia="標楷體" w:hAnsi="標楷體" w:cs="標楷體"/>
          <w:sz w:val="28"/>
          <w:szCs w:val="28"/>
        </w:rPr>
        <w:t>前一年度辦理成果未依規定期限辦理核結。</w:t>
      </w:r>
    </w:p>
    <w:p w:rsidR="00BD51A5" w:rsidRDefault="00A40652">
      <w:pPr>
        <w:pStyle w:val="Standard"/>
        <w:snapToGrid w:val="0"/>
        <w:spacing w:line="460" w:lineRule="exact"/>
        <w:ind w:left="848" w:hanging="848"/>
        <w:jc w:val="both"/>
        <w:rPr>
          <w:rFonts w:ascii="標楷體" w:eastAsia="標楷體" w:hAnsi="標楷體" w:cs="標楷體"/>
          <w:sz w:val="28"/>
          <w:szCs w:val="28"/>
        </w:rPr>
      </w:pPr>
      <w:r>
        <w:rPr>
          <w:rFonts w:ascii="標楷體" w:eastAsia="標楷體" w:hAnsi="標楷體" w:cs="標楷體"/>
          <w:sz w:val="28"/>
          <w:szCs w:val="28"/>
        </w:rPr>
        <w:t>十二、請款程序如下：</w:t>
      </w:r>
    </w:p>
    <w:p w:rsidR="00BD51A5" w:rsidRDefault="00A40652">
      <w:pPr>
        <w:pStyle w:val="Standard"/>
        <w:snapToGrid w:val="0"/>
        <w:spacing w:line="460" w:lineRule="exact"/>
        <w:ind w:left="1416" w:hanging="566"/>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一</w:t>
      </w:r>
      <w:r>
        <w:rPr>
          <w:rFonts w:ascii="標楷體" w:eastAsia="標楷體" w:hAnsi="標楷體" w:cs="標楷體"/>
          <w:sz w:val="28"/>
          <w:szCs w:val="28"/>
        </w:rPr>
        <w:t>)</w:t>
      </w:r>
      <w:r>
        <w:rPr>
          <w:rFonts w:ascii="標楷體" w:eastAsia="標楷體" w:hAnsi="標楷體" w:cs="標楷體"/>
          <w:sz w:val="28"/>
          <w:szCs w:val="28"/>
        </w:rPr>
        <w:t>地方政府主管學校</w:t>
      </w:r>
      <w:r>
        <w:rPr>
          <w:rFonts w:ascii="標楷體" w:eastAsia="標楷體" w:hAnsi="標楷體" w:cs="標楷體"/>
          <w:sz w:val="28"/>
          <w:szCs w:val="28"/>
        </w:rPr>
        <w:t>(</w:t>
      </w:r>
      <w:r>
        <w:rPr>
          <w:rFonts w:ascii="標楷體" w:eastAsia="標楷體" w:hAnsi="標楷體" w:cs="標楷體"/>
          <w:sz w:val="28"/>
          <w:szCs w:val="28"/>
        </w:rPr>
        <w:t>包括任務學校或相關任務編組</w:t>
      </w:r>
      <w:r>
        <w:rPr>
          <w:rFonts w:ascii="標楷體" w:eastAsia="標楷體" w:hAnsi="標楷體" w:cs="標楷體"/>
          <w:sz w:val="28"/>
          <w:szCs w:val="28"/>
        </w:rPr>
        <w:t>)</w:t>
      </w:r>
      <w:r>
        <w:rPr>
          <w:rFonts w:ascii="標楷體" w:eastAsia="標楷體" w:hAnsi="標楷體" w:cs="標楷體"/>
          <w:sz w:val="28"/>
          <w:szCs w:val="28"/>
        </w:rPr>
        <w:t>，由地方政府彙整列冊並檢附領據向本署請款。</w:t>
      </w:r>
    </w:p>
    <w:p w:rsidR="00BD51A5" w:rsidRDefault="00A40652">
      <w:pPr>
        <w:pStyle w:val="Standard"/>
        <w:snapToGrid w:val="0"/>
        <w:spacing w:line="460" w:lineRule="exact"/>
        <w:ind w:left="1416" w:hanging="566"/>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教育部主管學校</w:t>
      </w:r>
      <w:r>
        <w:rPr>
          <w:rFonts w:ascii="標楷體" w:eastAsia="標楷體" w:hAnsi="標楷體" w:cs="標楷體"/>
          <w:sz w:val="28"/>
          <w:szCs w:val="28"/>
        </w:rPr>
        <w:t>(</w:t>
      </w:r>
      <w:r>
        <w:rPr>
          <w:rFonts w:ascii="標楷體" w:eastAsia="標楷體" w:hAnsi="標楷體" w:cs="標楷體"/>
          <w:sz w:val="28"/>
          <w:szCs w:val="28"/>
        </w:rPr>
        <w:t>包括任務學校</w:t>
      </w:r>
      <w:r>
        <w:rPr>
          <w:rFonts w:ascii="標楷體" w:eastAsia="標楷體" w:hAnsi="標楷體" w:cs="標楷體"/>
          <w:sz w:val="28"/>
          <w:szCs w:val="28"/>
        </w:rPr>
        <w:t>)</w:t>
      </w:r>
      <w:r>
        <w:rPr>
          <w:rFonts w:ascii="標楷體" w:eastAsia="標楷體" w:hAnsi="標楷體" w:cs="標楷體"/>
          <w:sz w:val="28"/>
          <w:szCs w:val="28"/>
        </w:rPr>
        <w:t>，應檢附領據，送本署請款。</w:t>
      </w:r>
    </w:p>
    <w:p w:rsidR="00BD51A5" w:rsidRDefault="00A40652">
      <w:pPr>
        <w:pStyle w:val="Standard"/>
        <w:snapToGrid w:val="0"/>
        <w:spacing w:line="460" w:lineRule="exact"/>
        <w:ind w:left="848" w:hanging="848"/>
        <w:jc w:val="both"/>
        <w:rPr>
          <w:rFonts w:ascii="標楷體" w:eastAsia="標楷體" w:hAnsi="標楷體" w:cs="標楷體"/>
          <w:sz w:val="28"/>
          <w:szCs w:val="28"/>
        </w:rPr>
      </w:pPr>
      <w:r>
        <w:rPr>
          <w:rFonts w:ascii="標楷體" w:eastAsia="標楷體" w:hAnsi="標楷體" w:cs="標楷體"/>
          <w:sz w:val="28"/>
          <w:szCs w:val="28"/>
        </w:rPr>
        <w:t>十三、本署依本要點補助之比率如下：</w:t>
      </w:r>
    </w:p>
    <w:p w:rsidR="00BD51A5" w:rsidRDefault="00A40652">
      <w:pPr>
        <w:pStyle w:val="Standard"/>
        <w:snapToGrid w:val="0"/>
        <w:spacing w:line="460" w:lineRule="exact"/>
        <w:ind w:left="1416" w:hanging="566"/>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一</w:t>
      </w:r>
      <w:r>
        <w:rPr>
          <w:rFonts w:ascii="標楷體" w:eastAsia="標楷體" w:hAnsi="標楷體" w:cs="標楷體"/>
          <w:sz w:val="28"/>
          <w:szCs w:val="28"/>
        </w:rPr>
        <w:t>)</w:t>
      </w:r>
      <w:r>
        <w:rPr>
          <w:rFonts w:ascii="標楷體" w:eastAsia="標楷體" w:hAnsi="標楷體" w:cs="標楷體"/>
          <w:sz w:val="28"/>
          <w:szCs w:val="28"/>
        </w:rPr>
        <w:t>地方政府及其所管之公立學校，依中央對直轄市及縣（市）政府補助辦法之規定，就地方政府財力級次，針對核定之金額給予不同補助比率；屬第一級者，最高補助百分之五十，第二級者，百分之七十，第三級者，百分之八十，第四級者，百分之八十八，第五級者，百分之九十。</w:t>
      </w:r>
    </w:p>
    <w:p w:rsidR="00BD51A5" w:rsidRDefault="00A40652">
      <w:pPr>
        <w:pStyle w:val="Standard"/>
        <w:snapToGrid w:val="0"/>
        <w:spacing w:line="460" w:lineRule="exact"/>
        <w:ind w:left="1416" w:hanging="566"/>
        <w:jc w:val="both"/>
        <w:rPr>
          <w:rFonts w:ascii="標楷體" w:eastAsia="標楷體" w:hAnsi="標楷體" w:cs="標楷體"/>
          <w:sz w:val="28"/>
          <w:szCs w:val="28"/>
        </w:rPr>
      </w:pPr>
      <w:r>
        <w:rPr>
          <w:rFonts w:ascii="標楷體" w:eastAsia="標楷體" w:hAnsi="標楷體" w:cs="標楷體"/>
          <w:sz w:val="28"/>
          <w:szCs w:val="28"/>
        </w:rPr>
        <w:lastRenderedPageBreak/>
        <w:t>(</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地方政府主管之私立學校，最高補助比率為審查核定之金額百分之五十。</w:t>
      </w:r>
    </w:p>
    <w:p w:rsidR="00BD51A5" w:rsidRDefault="00A40652">
      <w:pPr>
        <w:pStyle w:val="Standard"/>
        <w:snapToGrid w:val="0"/>
        <w:spacing w:line="460" w:lineRule="exact"/>
        <w:ind w:left="1416" w:hanging="566"/>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三</w:t>
      </w:r>
      <w:r>
        <w:rPr>
          <w:rFonts w:ascii="標楷體" w:eastAsia="標楷體" w:hAnsi="標楷體" w:cs="標楷體"/>
          <w:sz w:val="28"/>
          <w:szCs w:val="28"/>
        </w:rPr>
        <w:t>)</w:t>
      </w:r>
      <w:r>
        <w:rPr>
          <w:rFonts w:ascii="標楷體" w:eastAsia="標楷體" w:hAnsi="標楷體" w:cs="標楷體"/>
          <w:sz w:val="28"/>
          <w:szCs w:val="28"/>
        </w:rPr>
        <w:t>教育部主管學校，採全額補助。</w:t>
      </w:r>
    </w:p>
    <w:p w:rsidR="00BD51A5" w:rsidRDefault="00A40652">
      <w:pPr>
        <w:pStyle w:val="Standard"/>
        <w:snapToGrid w:val="0"/>
        <w:spacing w:line="460" w:lineRule="exact"/>
        <w:ind w:left="848" w:hanging="848"/>
        <w:jc w:val="both"/>
        <w:rPr>
          <w:rFonts w:ascii="標楷體" w:eastAsia="標楷體" w:hAnsi="標楷體" w:cs="標楷體"/>
          <w:sz w:val="28"/>
          <w:szCs w:val="28"/>
        </w:rPr>
      </w:pPr>
      <w:r>
        <w:rPr>
          <w:rFonts w:ascii="標楷體" w:eastAsia="標楷體" w:hAnsi="標楷體" w:cs="標楷體"/>
          <w:sz w:val="28"/>
          <w:szCs w:val="28"/>
        </w:rPr>
        <w:t>十四、本署得視各地方政府財政狀況，或因應傳染病、天然災害、重大變故或其他特殊需要，酌予調整核定經費，不受第五點經費補助基準上限之限制。</w:t>
      </w:r>
    </w:p>
    <w:p w:rsidR="00BD51A5" w:rsidRDefault="00A40652">
      <w:pPr>
        <w:pStyle w:val="Standard"/>
        <w:snapToGrid w:val="0"/>
        <w:spacing w:line="460" w:lineRule="exact"/>
        <w:ind w:left="848" w:hanging="848"/>
        <w:jc w:val="both"/>
        <w:rPr>
          <w:rFonts w:ascii="標楷體" w:eastAsia="標楷體" w:hAnsi="標楷體" w:cs="標楷體"/>
          <w:sz w:val="28"/>
          <w:szCs w:val="28"/>
        </w:rPr>
      </w:pPr>
      <w:r>
        <w:rPr>
          <w:rFonts w:ascii="標楷體" w:eastAsia="標楷體" w:hAnsi="標楷體" w:cs="標楷體"/>
          <w:sz w:val="28"/>
          <w:szCs w:val="28"/>
        </w:rPr>
        <w:t>十五、本要點申</w:t>
      </w:r>
      <w:r>
        <w:rPr>
          <w:rFonts w:ascii="標楷體" w:eastAsia="標楷體" w:hAnsi="標楷體" w:cs="標楷體"/>
          <w:sz w:val="28"/>
          <w:szCs w:val="28"/>
        </w:rPr>
        <w:t>請補助、核撥及結報，應專款專用，並應依教育部補</w:t>
      </w:r>
      <w:r>
        <w:rPr>
          <w:rFonts w:ascii="標楷體" w:eastAsia="標楷體" w:hAnsi="標楷體" w:cs="標楷體"/>
          <w:sz w:val="28"/>
          <w:szCs w:val="28"/>
        </w:rPr>
        <w:t>(</w:t>
      </w:r>
      <w:r>
        <w:rPr>
          <w:rFonts w:ascii="標楷體" w:eastAsia="標楷體" w:hAnsi="標楷體" w:cs="標楷體"/>
          <w:sz w:val="28"/>
          <w:szCs w:val="28"/>
        </w:rPr>
        <w:t>捐</w:t>
      </w:r>
      <w:r>
        <w:rPr>
          <w:rFonts w:ascii="標楷體" w:eastAsia="標楷體" w:hAnsi="標楷體" w:cs="標楷體"/>
          <w:sz w:val="28"/>
          <w:szCs w:val="28"/>
        </w:rPr>
        <w:t>)</w:t>
      </w:r>
      <w:r>
        <w:rPr>
          <w:rFonts w:ascii="標楷體" w:eastAsia="標楷體" w:hAnsi="標楷體" w:cs="標楷體"/>
          <w:sz w:val="28"/>
          <w:szCs w:val="28"/>
        </w:rPr>
        <w:t>助及委辦經費核撥結報作業要點之規定辦理。</w:t>
      </w:r>
    </w:p>
    <w:p w:rsidR="00BD51A5" w:rsidRDefault="00A40652">
      <w:pPr>
        <w:pStyle w:val="Standard"/>
        <w:snapToGrid w:val="0"/>
        <w:spacing w:line="460" w:lineRule="exact"/>
        <w:ind w:left="848" w:hanging="848"/>
        <w:jc w:val="both"/>
        <w:rPr>
          <w:rFonts w:ascii="標楷體" w:eastAsia="標楷體" w:hAnsi="標楷體" w:cs="標楷體"/>
          <w:sz w:val="28"/>
          <w:szCs w:val="28"/>
        </w:rPr>
      </w:pPr>
      <w:r>
        <w:rPr>
          <w:rFonts w:ascii="標楷體" w:eastAsia="標楷體" w:hAnsi="標楷體" w:cs="標楷體"/>
          <w:sz w:val="28"/>
          <w:szCs w:val="28"/>
        </w:rPr>
        <w:t>十六、本署及地方政府得不定期訪視學校執行績效，作為下次補助之參考。</w:t>
      </w:r>
    </w:p>
    <w:p w:rsidR="00BD51A5" w:rsidRDefault="00A40652">
      <w:pPr>
        <w:pStyle w:val="Standard"/>
        <w:snapToGrid w:val="0"/>
        <w:spacing w:line="460" w:lineRule="exact"/>
        <w:ind w:left="848" w:hanging="848"/>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執行本要點績優之地方政府及學校，由本署依相關規定辦理敘獎或表揚。</w:t>
      </w:r>
    </w:p>
    <w:sectPr w:rsidR="00BD51A5">
      <w:footerReference w:type="default" r:id="rId7"/>
      <w:pgSz w:w="11906" w:h="16838"/>
      <w:pgMar w:top="1021" w:right="1021" w:bottom="1048" w:left="1021"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652" w:rsidRDefault="00A40652">
      <w:pPr>
        <w:rPr>
          <w:rFonts w:hint="eastAsia"/>
        </w:rPr>
      </w:pPr>
      <w:r>
        <w:separator/>
      </w:r>
    </w:p>
  </w:endnote>
  <w:endnote w:type="continuationSeparator" w:id="0">
    <w:p w:rsidR="00A40652" w:rsidRDefault="00A4065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PMingLiU">
    <w:charset w:val="00"/>
    <w:family w:val="roman"/>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200" w:rsidRDefault="00A40652">
    <w:pPr>
      <w:pStyle w:val="a7"/>
      <w:jc w:val="center"/>
    </w:pPr>
    <w:r>
      <w:fldChar w:fldCharType="begin"/>
    </w:r>
    <w:r>
      <w:instrText xml:space="preserve"> PAGE </w:instrText>
    </w:r>
    <w:r>
      <w:fldChar w:fldCharType="separate"/>
    </w:r>
    <w:r w:rsidR="000B013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652" w:rsidRDefault="00A40652">
      <w:pPr>
        <w:rPr>
          <w:rFonts w:hint="eastAsia"/>
        </w:rPr>
      </w:pPr>
      <w:r>
        <w:rPr>
          <w:color w:val="000000"/>
        </w:rPr>
        <w:separator/>
      </w:r>
    </w:p>
  </w:footnote>
  <w:footnote w:type="continuationSeparator" w:id="0">
    <w:p w:rsidR="00A40652" w:rsidRDefault="00A4065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67A47"/>
    <w:multiLevelType w:val="multilevel"/>
    <w:tmpl w:val="7E82C036"/>
    <w:styleLink w:val="WW8Num14"/>
    <w:lvl w:ilvl="0">
      <w:start w:val="1"/>
      <w:numFmt w:val="decimal"/>
      <w:lvlText w:val="%1、"/>
      <w:lvlJc w:val="left"/>
      <w:pPr>
        <w:ind w:left="7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961712A"/>
    <w:multiLevelType w:val="multilevel"/>
    <w:tmpl w:val="4B9C0486"/>
    <w:styleLink w:val="WW8Num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EE6402F"/>
    <w:multiLevelType w:val="multilevel"/>
    <w:tmpl w:val="201ACE40"/>
    <w:styleLink w:val="WW8Num1"/>
    <w:lvl w:ilvl="0">
      <w:start w:val="1"/>
      <w:numFmt w:val="decimal"/>
      <w:lvlText w:val="(%1)"/>
      <w:lvlJc w:val="right"/>
      <w:pPr>
        <w:ind w:left="1756" w:hanging="480"/>
      </w:pPr>
      <w:rPr>
        <w:rFonts w:cs="Times New Roman"/>
      </w:rPr>
    </w:lvl>
    <w:lvl w:ilvl="1">
      <w:start w:val="1"/>
      <w:numFmt w:val="ideographTraditional"/>
      <w:lvlText w:val="%2、"/>
      <w:lvlJc w:val="left"/>
      <w:pPr>
        <w:ind w:left="2236" w:hanging="480"/>
      </w:pPr>
      <w:rPr>
        <w:rFonts w:cs="Times New Roman"/>
      </w:rPr>
    </w:lvl>
    <w:lvl w:ilvl="2">
      <w:start w:val="1"/>
      <w:numFmt w:val="lowerRoman"/>
      <w:lvlText w:val="%3."/>
      <w:lvlJc w:val="right"/>
      <w:pPr>
        <w:ind w:left="2716" w:hanging="480"/>
      </w:pPr>
      <w:rPr>
        <w:rFonts w:cs="Times New Roman"/>
      </w:rPr>
    </w:lvl>
    <w:lvl w:ilvl="3">
      <w:start w:val="1"/>
      <w:numFmt w:val="decimal"/>
      <w:lvlText w:val="%4."/>
      <w:lvlJc w:val="left"/>
      <w:pPr>
        <w:ind w:left="3196" w:hanging="480"/>
      </w:pPr>
      <w:rPr>
        <w:rFonts w:cs="Times New Roman"/>
      </w:rPr>
    </w:lvl>
    <w:lvl w:ilvl="4">
      <w:start w:val="1"/>
      <w:numFmt w:val="ideographTraditional"/>
      <w:lvlText w:val="%5、"/>
      <w:lvlJc w:val="left"/>
      <w:pPr>
        <w:ind w:left="3676" w:hanging="480"/>
      </w:pPr>
      <w:rPr>
        <w:rFonts w:cs="Times New Roman"/>
      </w:rPr>
    </w:lvl>
    <w:lvl w:ilvl="5">
      <w:start w:val="1"/>
      <w:numFmt w:val="lowerRoman"/>
      <w:lvlText w:val="%6."/>
      <w:lvlJc w:val="right"/>
      <w:pPr>
        <w:ind w:left="4156" w:hanging="480"/>
      </w:pPr>
      <w:rPr>
        <w:rFonts w:cs="Times New Roman"/>
      </w:rPr>
    </w:lvl>
    <w:lvl w:ilvl="6">
      <w:start w:val="1"/>
      <w:numFmt w:val="decimal"/>
      <w:lvlText w:val="%7."/>
      <w:lvlJc w:val="left"/>
      <w:pPr>
        <w:ind w:left="4636" w:hanging="480"/>
      </w:pPr>
      <w:rPr>
        <w:rFonts w:cs="Times New Roman"/>
      </w:rPr>
    </w:lvl>
    <w:lvl w:ilvl="7">
      <w:start w:val="1"/>
      <w:numFmt w:val="ideographTraditional"/>
      <w:lvlText w:val="%8、"/>
      <w:lvlJc w:val="left"/>
      <w:pPr>
        <w:ind w:left="5116" w:hanging="480"/>
      </w:pPr>
      <w:rPr>
        <w:rFonts w:cs="Times New Roman"/>
      </w:rPr>
    </w:lvl>
    <w:lvl w:ilvl="8">
      <w:start w:val="1"/>
      <w:numFmt w:val="lowerRoman"/>
      <w:lvlText w:val="%9."/>
      <w:lvlJc w:val="right"/>
      <w:pPr>
        <w:ind w:left="5596" w:hanging="480"/>
      </w:pPr>
      <w:rPr>
        <w:rFonts w:cs="Times New Roman"/>
      </w:rPr>
    </w:lvl>
  </w:abstractNum>
  <w:abstractNum w:abstractNumId="3">
    <w:nsid w:val="117E3005"/>
    <w:multiLevelType w:val="multilevel"/>
    <w:tmpl w:val="FB48C100"/>
    <w:styleLink w:val="WW8Num28"/>
    <w:lvl w:ilvl="0">
      <w:start w:val="1"/>
      <w:numFmt w:val="decimal"/>
      <w:lvlText w:val="%1."/>
      <w:lvlJc w:val="left"/>
      <w:pPr>
        <w:ind w:left="1440" w:hanging="480"/>
      </w:pPr>
      <w:rPr>
        <w:rFonts w:cs="Times New Roman"/>
      </w:rPr>
    </w:lvl>
    <w:lvl w:ilvl="1">
      <w:start w:val="1"/>
      <w:numFmt w:val="ideographTraditional"/>
      <w:lvlText w:val="%2、"/>
      <w:lvlJc w:val="left"/>
      <w:pPr>
        <w:ind w:left="1920" w:hanging="480"/>
      </w:pPr>
      <w:rPr>
        <w:rFonts w:cs="Times New Roman"/>
      </w:rPr>
    </w:lvl>
    <w:lvl w:ilvl="2">
      <w:start w:val="1"/>
      <w:numFmt w:val="lowerRoman"/>
      <w:lvlText w:val="%3."/>
      <w:lvlJc w:val="right"/>
      <w:pPr>
        <w:ind w:left="2400" w:hanging="480"/>
      </w:pPr>
      <w:rPr>
        <w:rFonts w:cs="Times New Roman"/>
      </w:rPr>
    </w:lvl>
    <w:lvl w:ilvl="3">
      <w:start w:val="1"/>
      <w:numFmt w:val="decimal"/>
      <w:lvlText w:val="%4."/>
      <w:lvlJc w:val="left"/>
      <w:pPr>
        <w:ind w:left="2880" w:hanging="480"/>
      </w:pPr>
      <w:rPr>
        <w:rFonts w:cs="Times New Roman"/>
      </w:rPr>
    </w:lvl>
    <w:lvl w:ilvl="4">
      <w:start w:val="1"/>
      <w:numFmt w:val="ideographTraditional"/>
      <w:lvlText w:val="%5、"/>
      <w:lvlJc w:val="left"/>
      <w:pPr>
        <w:ind w:left="3360" w:hanging="480"/>
      </w:pPr>
      <w:rPr>
        <w:rFonts w:cs="Times New Roman"/>
      </w:rPr>
    </w:lvl>
    <w:lvl w:ilvl="5">
      <w:start w:val="1"/>
      <w:numFmt w:val="lowerRoman"/>
      <w:lvlText w:val="%6."/>
      <w:lvlJc w:val="right"/>
      <w:pPr>
        <w:ind w:left="3840" w:hanging="480"/>
      </w:pPr>
      <w:rPr>
        <w:rFonts w:cs="Times New Roman"/>
      </w:rPr>
    </w:lvl>
    <w:lvl w:ilvl="6">
      <w:start w:val="1"/>
      <w:numFmt w:val="decimal"/>
      <w:lvlText w:val="%7."/>
      <w:lvlJc w:val="left"/>
      <w:pPr>
        <w:ind w:left="4320" w:hanging="480"/>
      </w:pPr>
      <w:rPr>
        <w:rFonts w:cs="Times New Roman"/>
      </w:rPr>
    </w:lvl>
    <w:lvl w:ilvl="7">
      <w:start w:val="1"/>
      <w:numFmt w:val="ideographTraditional"/>
      <w:lvlText w:val="%8、"/>
      <w:lvlJc w:val="left"/>
      <w:pPr>
        <w:ind w:left="4800" w:hanging="480"/>
      </w:pPr>
      <w:rPr>
        <w:rFonts w:cs="Times New Roman"/>
      </w:rPr>
    </w:lvl>
    <w:lvl w:ilvl="8">
      <w:start w:val="1"/>
      <w:numFmt w:val="lowerRoman"/>
      <w:lvlText w:val="%9."/>
      <w:lvlJc w:val="right"/>
      <w:pPr>
        <w:ind w:left="5280" w:hanging="480"/>
      </w:pPr>
      <w:rPr>
        <w:rFonts w:cs="Times New Roman"/>
      </w:rPr>
    </w:lvl>
  </w:abstractNum>
  <w:abstractNum w:abstractNumId="4">
    <w:nsid w:val="139270B7"/>
    <w:multiLevelType w:val="multilevel"/>
    <w:tmpl w:val="F886DF5A"/>
    <w:styleLink w:val="WW8Num27"/>
    <w:lvl w:ilvl="0">
      <w:start w:val="7"/>
      <w:numFmt w:val="japaneseCounting"/>
      <w:lvlText w:val="%1、"/>
      <w:lvlJc w:val="left"/>
      <w:pPr>
        <w:ind w:left="7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8B80780"/>
    <w:multiLevelType w:val="multilevel"/>
    <w:tmpl w:val="C352A650"/>
    <w:styleLink w:val="WW8Num2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1A375889"/>
    <w:multiLevelType w:val="multilevel"/>
    <w:tmpl w:val="A99A2AD2"/>
    <w:styleLink w:val="WW8Num13"/>
    <w:lvl w:ilvl="0">
      <w:start w:val="1"/>
      <w:numFmt w:val="decimal"/>
      <w:lvlText w:val="%1、"/>
      <w:lvlJc w:val="left"/>
      <w:pPr>
        <w:ind w:left="7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1D563111"/>
    <w:multiLevelType w:val="multilevel"/>
    <w:tmpl w:val="3CFC1F34"/>
    <w:styleLink w:val="WW8Num1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274B32DC"/>
    <w:multiLevelType w:val="multilevel"/>
    <w:tmpl w:val="C0FC26A4"/>
    <w:styleLink w:val="WW8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29D17F1B"/>
    <w:multiLevelType w:val="multilevel"/>
    <w:tmpl w:val="1B1A2F16"/>
    <w:styleLink w:val="WW8Num18"/>
    <w:lvl w:ilvl="0">
      <w:start w:val="1"/>
      <w:numFmt w:val="decimal"/>
      <w:lvlText w:val="%1、"/>
      <w:lvlJc w:val="left"/>
      <w:pPr>
        <w:ind w:left="7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2E302363"/>
    <w:multiLevelType w:val="multilevel"/>
    <w:tmpl w:val="AAD4127C"/>
    <w:styleLink w:val="WW8Num24"/>
    <w:lvl w:ilvl="0">
      <w:start w:val="1"/>
      <w:numFmt w:val="japaneseCounting"/>
      <w:lvlText w:val="%1、"/>
      <w:lvlJc w:val="left"/>
      <w:pPr>
        <w:ind w:left="440" w:hanging="440"/>
      </w:pPr>
    </w:lvl>
    <w:lvl w:ilvl="1">
      <w:start w:val="1"/>
      <w:numFmt w:val="ideographTraditional"/>
      <w:lvlText w:val="%2、"/>
      <w:lvlJc w:val="left"/>
      <w:pPr>
        <w:ind w:left="960" w:hanging="480"/>
      </w:pPr>
      <w:rPr>
        <w:rFonts w:ascii="新細明體, PMingLiU" w:eastAsia="新細明體, PMingLiU" w:hAnsi="新細明體, PMingLiU" w:cs="新細明體, PMingLiU"/>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PMingLiU" w:eastAsia="新細明體, PMingLiU" w:hAnsi="新細明體, PMingLiU" w:cs="新細明體, PMingLiU"/>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PMingLiU" w:eastAsia="新細明體, PMingLiU" w:hAnsi="新細明體, PMingLiU" w:cs="新細明體, PMingLiU"/>
      </w:rPr>
    </w:lvl>
    <w:lvl w:ilvl="8">
      <w:start w:val="1"/>
      <w:numFmt w:val="lowerRoman"/>
      <w:lvlText w:val="%9."/>
      <w:lvlJc w:val="right"/>
      <w:pPr>
        <w:ind w:left="4320" w:hanging="480"/>
      </w:pPr>
    </w:lvl>
  </w:abstractNum>
  <w:abstractNum w:abstractNumId="11">
    <w:nsid w:val="314857FF"/>
    <w:multiLevelType w:val="multilevel"/>
    <w:tmpl w:val="2FF660E0"/>
    <w:styleLink w:val="WW8Num2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342F1C1C"/>
    <w:multiLevelType w:val="multilevel"/>
    <w:tmpl w:val="1D98C284"/>
    <w:styleLink w:val="WW8Num11"/>
    <w:lvl w:ilvl="0">
      <w:start w:val="4"/>
      <w:numFmt w:val="japaneseCounting"/>
      <w:lvlText w:val="%1、"/>
      <w:lvlJc w:val="left"/>
      <w:pPr>
        <w:ind w:left="7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3D73204C"/>
    <w:multiLevelType w:val="multilevel"/>
    <w:tmpl w:val="631A3BF6"/>
    <w:styleLink w:val="WW8Num15"/>
    <w:lvl w:ilvl="0">
      <w:start w:val="1"/>
      <w:numFmt w:val="decimal"/>
      <w:lvlText w:val="%1."/>
      <w:lvlJc w:val="left"/>
      <w:pPr>
        <w:ind w:left="960" w:hanging="480"/>
      </w:pPr>
      <w:rPr>
        <w:rFonts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4">
    <w:nsid w:val="3E5A3149"/>
    <w:multiLevelType w:val="multilevel"/>
    <w:tmpl w:val="0AFA9E92"/>
    <w:styleLink w:val="WW8Num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4DEC1CFE"/>
    <w:multiLevelType w:val="multilevel"/>
    <w:tmpl w:val="CC4AB2C4"/>
    <w:styleLink w:val="WW8Num3"/>
    <w:lvl w:ilvl="0">
      <w:start w:val="1"/>
      <w:numFmt w:val="japaneseCounting"/>
      <w:lvlText w:val="%1、"/>
      <w:lvlJc w:val="left"/>
      <w:pPr>
        <w:ind w:left="936" w:hanging="510"/>
      </w:pPr>
      <w:rPr>
        <w:rFonts w:cs="Times New Roman"/>
        <w:b w:val="0"/>
        <w:color w:val="000000"/>
        <w:lang w:val="en-US"/>
      </w:rPr>
    </w:lvl>
    <w:lvl w:ilvl="1">
      <w:start w:val="1"/>
      <w:numFmt w:val="japaneseCounting"/>
      <w:lvlText w:val="(%2)"/>
      <w:lvlJc w:val="left"/>
      <w:pPr>
        <w:ind w:left="1135" w:hanging="371"/>
      </w:pPr>
      <w:rPr>
        <w:rFonts w:cs="Times New Roman"/>
        <w:color w:val="FF0000"/>
      </w:rPr>
    </w:lvl>
    <w:lvl w:ilvl="2">
      <w:start w:val="1"/>
      <w:numFmt w:val="lowerRoman"/>
      <w:lvlText w:val="%3."/>
      <w:lvlJc w:val="right"/>
      <w:pPr>
        <w:ind w:left="1724" w:hanging="480"/>
      </w:pPr>
      <w:rPr>
        <w:rFonts w:cs="Times New Roman"/>
      </w:rPr>
    </w:lvl>
    <w:lvl w:ilvl="3">
      <w:start w:val="1"/>
      <w:numFmt w:val="decimal"/>
      <w:lvlText w:val="%4."/>
      <w:lvlJc w:val="left"/>
      <w:pPr>
        <w:ind w:left="2204" w:hanging="480"/>
      </w:pPr>
      <w:rPr>
        <w:rFonts w:cs="Times New Roman"/>
      </w:rPr>
    </w:lvl>
    <w:lvl w:ilvl="4">
      <w:start w:val="1"/>
      <w:numFmt w:val="ideographTraditional"/>
      <w:lvlText w:val="%5、"/>
      <w:lvlJc w:val="left"/>
      <w:pPr>
        <w:ind w:left="2684" w:hanging="480"/>
      </w:pPr>
      <w:rPr>
        <w:rFonts w:cs="Times New Roman"/>
      </w:rPr>
    </w:lvl>
    <w:lvl w:ilvl="5">
      <w:start w:val="1"/>
      <w:numFmt w:val="lowerRoman"/>
      <w:lvlText w:val="%6."/>
      <w:lvlJc w:val="right"/>
      <w:pPr>
        <w:ind w:left="3164" w:hanging="480"/>
      </w:pPr>
      <w:rPr>
        <w:rFonts w:cs="Times New Roman"/>
      </w:rPr>
    </w:lvl>
    <w:lvl w:ilvl="6">
      <w:start w:val="1"/>
      <w:numFmt w:val="decimal"/>
      <w:lvlText w:val="%7."/>
      <w:lvlJc w:val="left"/>
      <w:pPr>
        <w:ind w:left="3644" w:hanging="480"/>
      </w:pPr>
      <w:rPr>
        <w:rFonts w:cs="Times New Roman"/>
      </w:rPr>
    </w:lvl>
    <w:lvl w:ilvl="7">
      <w:start w:val="1"/>
      <w:numFmt w:val="ideographTraditional"/>
      <w:lvlText w:val="%8、"/>
      <w:lvlJc w:val="left"/>
      <w:pPr>
        <w:ind w:left="4124" w:hanging="480"/>
      </w:pPr>
      <w:rPr>
        <w:rFonts w:cs="Times New Roman"/>
      </w:rPr>
    </w:lvl>
    <w:lvl w:ilvl="8">
      <w:start w:val="1"/>
      <w:numFmt w:val="lowerRoman"/>
      <w:lvlText w:val="%9."/>
      <w:lvlJc w:val="right"/>
      <w:pPr>
        <w:ind w:left="4604" w:hanging="480"/>
      </w:pPr>
      <w:rPr>
        <w:rFonts w:cs="Times New Roman"/>
      </w:rPr>
    </w:lvl>
  </w:abstractNum>
  <w:abstractNum w:abstractNumId="16">
    <w:nsid w:val="556C4D92"/>
    <w:multiLevelType w:val="multilevel"/>
    <w:tmpl w:val="5342890C"/>
    <w:styleLink w:val="WW8Num4"/>
    <w:lvl w:ilvl="0">
      <w:start w:val="1"/>
      <w:numFmt w:val="decimal"/>
      <w:lvlText w:val="%1、"/>
      <w:lvlJc w:val="left"/>
      <w:pPr>
        <w:ind w:left="7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59E44153"/>
    <w:multiLevelType w:val="multilevel"/>
    <w:tmpl w:val="9F16AC6C"/>
    <w:styleLink w:val="WW8Num16"/>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8">
    <w:nsid w:val="5DC47652"/>
    <w:multiLevelType w:val="multilevel"/>
    <w:tmpl w:val="FAFE7B1C"/>
    <w:styleLink w:val="WW8Num2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645E23AA"/>
    <w:multiLevelType w:val="multilevel"/>
    <w:tmpl w:val="C0E6B272"/>
    <w:styleLink w:val="WW8Num19"/>
    <w:lvl w:ilvl="0">
      <w:start w:val="1"/>
      <w:numFmt w:val="decimal"/>
      <w:lvlText w:val="%1、"/>
      <w:lvlJc w:val="left"/>
      <w:pPr>
        <w:ind w:left="7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6A7A1265"/>
    <w:multiLevelType w:val="multilevel"/>
    <w:tmpl w:val="CE449CF6"/>
    <w:styleLink w:val="WW8Num26"/>
    <w:lvl w:ilvl="0">
      <w:start w:val="1"/>
      <w:numFmt w:val="upperLetter"/>
      <w:lvlText w:val="%1、"/>
      <w:lvlJc w:val="left"/>
      <w:pPr>
        <w:ind w:left="972" w:hanging="360"/>
      </w:pPr>
      <w:rPr>
        <w:rFonts w:ascii="Calibri" w:eastAsia="新細明體, PMingLiU" w:hAnsi="Calibri" w:cs="Calibri"/>
      </w:rPr>
    </w:lvl>
    <w:lvl w:ilvl="1">
      <w:start w:val="1"/>
      <w:numFmt w:val="ideographTraditional"/>
      <w:lvlText w:val="%2、"/>
      <w:lvlJc w:val="left"/>
      <w:pPr>
        <w:ind w:left="1572" w:hanging="480"/>
      </w:pPr>
    </w:lvl>
    <w:lvl w:ilvl="2">
      <w:start w:val="1"/>
      <w:numFmt w:val="lowerRoman"/>
      <w:lvlText w:val="%3."/>
      <w:lvlJc w:val="right"/>
      <w:pPr>
        <w:ind w:left="2052" w:hanging="480"/>
      </w:pPr>
    </w:lvl>
    <w:lvl w:ilvl="3">
      <w:start w:val="1"/>
      <w:numFmt w:val="decimal"/>
      <w:lvlText w:val="%4."/>
      <w:lvlJc w:val="left"/>
      <w:pPr>
        <w:ind w:left="2532" w:hanging="480"/>
      </w:pPr>
    </w:lvl>
    <w:lvl w:ilvl="4">
      <w:start w:val="1"/>
      <w:numFmt w:val="ideographTraditional"/>
      <w:lvlText w:val="%5、"/>
      <w:lvlJc w:val="left"/>
      <w:pPr>
        <w:ind w:left="3012" w:hanging="480"/>
      </w:pPr>
    </w:lvl>
    <w:lvl w:ilvl="5">
      <w:start w:val="1"/>
      <w:numFmt w:val="lowerRoman"/>
      <w:lvlText w:val="%6."/>
      <w:lvlJc w:val="right"/>
      <w:pPr>
        <w:ind w:left="3492" w:hanging="480"/>
      </w:pPr>
    </w:lvl>
    <w:lvl w:ilvl="6">
      <w:start w:val="1"/>
      <w:numFmt w:val="decimal"/>
      <w:lvlText w:val="%7."/>
      <w:lvlJc w:val="left"/>
      <w:pPr>
        <w:ind w:left="3972" w:hanging="480"/>
      </w:pPr>
    </w:lvl>
    <w:lvl w:ilvl="7">
      <w:start w:val="1"/>
      <w:numFmt w:val="ideographTraditional"/>
      <w:lvlText w:val="%8、"/>
      <w:lvlJc w:val="left"/>
      <w:pPr>
        <w:ind w:left="4452" w:hanging="480"/>
      </w:pPr>
    </w:lvl>
    <w:lvl w:ilvl="8">
      <w:start w:val="1"/>
      <w:numFmt w:val="lowerRoman"/>
      <w:lvlText w:val="%9."/>
      <w:lvlJc w:val="right"/>
      <w:pPr>
        <w:ind w:left="4932" w:hanging="480"/>
      </w:pPr>
    </w:lvl>
  </w:abstractNum>
  <w:abstractNum w:abstractNumId="21">
    <w:nsid w:val="6F4B4D56"/>
    <w:multiLevelType w:val="multilevel"/>
    <w:tmpl w:val="1E109C8C"/>
    <w:styleLink w:val="WW8Num12"/>
    <w:lvl w:ilvl="0">
      <w:start w:val="1"/>
      <w:numFmt w:val="japaneseCounting"/>
      <w:lvlText w:val="(%1)"/>
      <w:lvlJc w:val="left"/>
      <w:pPr>
        <w:ind w:left="480" w:hanging="480"/>
      </w:pPr>
      <w:rPr>
        <w:rFonts w:cs="Times New Roman"/>
        <w:color w:val="000000"/>
      </w:rPr>
    </w:lvl>
    <w:lvl w:ilvl="1">
      <w:start w:val="1"/>
      <w:numFmt w:val="decimal"/>
      <w:lvlText w:val="%2."/>
      <w:lvlJc w:val="left"/>
      <w:pPr>
        <w:ind w:left="840" w:hanging="36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nsid w:val="6FB96148"/>
    <w:multiLevelType w:val="multilevel"/>
    <w:tmpl w:val="91D66CB2"/>
    <w:styleLink w:val="WW8Num23"/>
    <w:lvl w:ilvl="0">
      <w:start w:val="5"/>
      <w:numFmt w:val="japaneseCounting"/>
      <w:lvlText w:val="%1、"/>
      <w:lvlJc w:val="left"/>
      <w:pPr>
        <w:ind w:left="7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71AD4F05"/>
    <w:multiLevelType w:val="multilevel"/>
    <w:tmpl w:val="7384F92C"/>
    <w:styleLink w:val="WW8Num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772B0862"/>
    <w:multiLevelType w:val="multilevel"/>
    <w:tmpl w:val="9A761D6E"/>
    <w:styleLink w:val="WW8Num8"/>
    <w:lvl w:ilvl="0">
      <w:start w:val="1"/>
      <w:numFmt w:val="decimal"/>
      <w:lvlText w:val="%1、"/>
      <w:lvlJc w:val="left"/>
      <w:pPr>
        <w:ind w:left="7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7BB76522"/>
    <w:multiLevelType w:val="multilevel"/>
    <w:tmpl w:val="4D948364"/>
    <w:styleLink w:val="WW8Num6"/>
    <w:lvl w:ilvl="0">
      <w:start w:val="1"/>
      <w:numFmt w:val="decimal"/>
      <w:lvlText w:val="%1、"/>
      <w:lvlJc w:val="left"/>
      <w:pPr>
        <w:ind w:left="7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7BF9656B"/>
    <w:multiLevelType w:val="multilevel"/>
    <w:tmpl w:val="FC169278"/>
    <w:styleLink w:val="WW8Num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7FCC1C27"/>
    <w:multiLevelType w:val="multilevel"/>
    <w:tmpl w:val="8E68D8E2"/>
    <w:styleLink w:val="WW8Num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23"/>
  </w:num>
  <w:num w:numId="3">
    <w:abstractNumId w:val="15"/>
  </w:num>
  <w:num w:numId="4">
    <w:abstractNumId w:val="16"/>
  </w:num>
  <w:num w:numId="5">
    <w:abstractNumId w:val="27"/>
  </w:num>
  <w:num w:numId="6">
    <w:abstractNumId w:val="25"/>
  </w:num>
  <w:num w:numId="7">
    <w:abstractNumId w:val="1"/>
  </w:num>
  <w:num w:numId="8">
    <w:abstractNumId w:val="24"/>
  </w:num>
  <w:num w:numId="9">
    <w:abstractNumId w:val="14"/>
  </w:num>
  <w:num w:numId="10">
    <w:abstractNumId w:val="26"/>
  </w:num>
  <w:num w:numId="11">
    <w:abstractNumId w:val="12"/>
  </w:num>
  <w:num w:numId="12">
    <w:abstractNumId w:val="21"/>
  </w:num>
  <w:num w:numId="13">
    <w:abstractNumId w:val="6"/>
  </w:num>
  <w:num w:numId="14">
    <w:abstractNumId w:val="0"/>
  </w:num>
  <w:num w:numId="15">
    <w:abstractNumId w:val="13"/>
  </w:num>
  <w:num w:numId="16">
    <w:abstractNumId w:val="17"/>
  </w:num>
  <w:num w:numId="17">
    <w:abstractNumId w:val="7"/>
  </w:num>
  <w:num w:numId="18">
    <w:abstractNumId w:val="9"/>
  </w:num>
  <w:num w:numId="19">
    <w:abstractNumId w:val="19"/>
  </w:num>
  <w:num w:numId="20">
    <w:abstractNumId w:val="5"/>
  </w:num>
  <w:num w:numId="21">
    <w:abstractNumId w:val="18"/>
  </w:num>
  <w:num w:numId="22">
    <w:abstractNumId w:val="8"/>
  </w:num>
  <w:num w:numId="23">
    <w:abstractNumId w:val="22"/>
  </w:num>
  <w:num w:numId="24">
    <w:abstractNumId w:val="10"/>
  </w:num>
  <w:num w:numId="25">
    <w:abstractNumId w:val="11"/>
  </w:num>
  <w:num w:numId="26">
    <w:abstractNumId w:val="20"/>
  </w:num>
  <w:num w:numId="27">
    <w:abstractNumId w:val="4"/>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BD51A5"/>
    <w:rsid w:val="000B013B"/>
    <w:rsid w:val="00A40652"/>
    <w:rsid w:val="00BD51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B90D88-F6B5-4D70-9775-391454C2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List Paragraph"/>
    <w:basedOn w:val="Standard"/>
    <w:pPr>
      <w:ind w:left="480"/>
    </w:pPr>
    <w:rPr>
      <w:rFonts w:ascii="Calibri" w:eastAsia="Calibri" w:hAnsi="Calibri" w:cs="Calibri"/>
      <w:szCs w:val="22"/>
    </w:rPr>
  </w:style>
  <w:style w:type="paragraph" w:styleId="a6">
    <w:name w:val="header"/>
    <w:basedOn w:val="Standard"/>
    <w:pPr>
      <w:snapToGrid w:val="0"/>
    </w:pPr>
    <w:rPr>
      <w:kern w:val="0"/>
      <w:sz w:val="20"/>
      <w:szCs w:val="20"/>
    </w:rPr>
  </w:style>
  <w:style w:type="paragraph" w:styleId="a7">
    <w:name w:val="footer"/>
    <w:basedOn w:val="Standard"/>
    <w:pPr>
      <w:snapToGrid w:val="0"/>
    </w:pPr>
    <w:rPr>
      <w:kern w:val="0"/>
      <w:sz w:val="20"/>
      <w:szCs w:val="20"/>
    </w:rPr>
  </w:style>
  <w:style w:type="paragraph" w:styleId="a8">
    <w:name w:val="Balloon Text"/>
    <w:basedOn w:val="Standard"/>
    <w:rPr>
      <w:rFonts w:ascii="Cambria" w:eastAsia="Cambria" w:hAnsi="Cambria" w:cs="Cambria"/>
      <w:kern w:val="0"/>
      <w:sz w:val="18"/>
      <w:szCs w:val="18"/>
    </w:rPr>
  </w:style>
  <w:style w:type="paragraph" w:styleId="HTML">
    <w:name w:val="HTML Preformatted"/>
    <w:basedOn w:val="Standard"/>
    <w:pPr>
      <w:widowControl/>
    </w:pPr>
    <w:rPr>
      <w:rFonts w:ascii="Arial Unicode MS" w:eastAsia="Arial Unicode MS" w:hAnsi="Arial Unicode MS" w:cs="Arial Unicode MS"/>
      <w:kern w:val="0"/>
      <w:sz w:val="20"/>
      <w:szCs w:val="20"/>
    </w:rPr>
  </w:style>
  <w:style w:type="paragraph" w:customStyle="1" w:styleId="0221">
    <w:name w:val="0221"/>
    <w:basedOn w:val="Standard"/>
    <w:pPr>
      <w:widowControl/>
      <w:spacing w:before="280" w:after="280"/>
    </w:pPr>
    <w:rPr>
      <w:rFonts w:ascii="新細明體, PMingLiU" w:hAnsi="新細明體, PMingLiU" w:cs="新細明體, PMingLiU"/>
      <w:kern w:val="0"/>
    </w:rPr>
  </w:style>
  <w:style w:type="paragraph" w:customStyle="1" w:styleId="0223">
    <w:name w:val="0223"/>
    <w:basedOn w:val="Standard"/>
    <w:pPr>
      <w:widowControl/>
      <w:spacing w:before="280" w:after="280"/>
    </w:pPr>
    <w:rPr>
      <w:rFonts w:ascii="新細明體, PMingLiU" w:hAnsi="新細明體, PMingLiU" w:cs="新細明體, PMingLiU"/>
      <w:kern w:val="0"/>
    </w:rPr>
  </w:style>
  <w:style w:type="paragraph" w:customStyle="1" w:styleId="0221-2">
    <w:name w:val="0221-2"/>
    <w:basedOn w:val="Standard"/>
    <w:pPr>
      <w:widowControl/>
      <w:spacing w:before="280" w:after="280"/>
    </w:pPr>
    <w:rPr>
      <w:rFonts w:ascii="新細明體, PMingLiU" w:hAnsi="新細明體, PMingLiU" w:cs="新細明體, PMingLiU"/>
      <w:kern w:val="0"/>
    </w:rPr>
  </w:style>
  <w:style w:type="paragraph" w:customStyle="1" w:styleId="0224">
    <w:name w:val="0224"/>
    <w:basedOn w:val="Standard"/>
    <w:pPr>
      <w:widowControl/>
      <w:spacing w:before="280" w:after="280"/>
    </w:pPr>
    <w:rPr>
      <w:rFonts w:ascii="新細明體, PMingLiU" w:hAnsi="新細明體, PMingLiU" w:cs="新細明體, PMingLiU"/>
      <w:kern w:val="0"/>
    </w:rPr>
  </w:style>
  <w:style w:type="paragraph" w:customStyle="1" w:styleId="0222">
    <w:name w:val="0222"/>
    <w:basedOn w:val="Standard"/>
    <w:pPr>
      <w:widowControl/>
      <w:spacing w:before="280" w:after="280"/>
    </w:pPr>
    <w:rPr>
      <w:rFonts w:ascii="新細明體, PMingLiU" w:hAnsi="新細明體, PMingLiU" w:cs="新細明體, PMingLiU"/>
      <w:kern w:val="0"/>
    </w:rPr>
  </w:style>
  <w:style w:type="paragraph" w:styleId="a9">
    <w:name w:val="annotation text"/>
    <w:basedOn w:val="Standard"/>
  </w:style>
  <w:style w:type="paragraph" w:styleId="Web">
    <w:name w:val="Normal (Web)"/>
    <w:basedOn w:val="Standard"/>
    <w:pPr>
      <w:widowControl/>
      <w:spacing w:before="280" w:after="280"/>
    </w:pPr>
    <w:rPr>
      <w:rFonts w:ascii="新細明體, PMingLiU" w:hAnsi="新細明體, PMingLiU" w:cs="新細明體, PMingLiU"/>
      <w:kern w:val="0"/>
    </w:rPr>
  </w:style>
  <w:style w:type="paragraph" w:styleId="aa">
    <w:name w:val="annotation subject"/>
    <w:basedOn w:val="a9"/>
    <w:next w:val="a9"/>
    <w:rPr>
      <w:b/>
      <w:bCs/>
      <w:szCs w:val="22"/>
    </w:rPr>
  </w:style>
  <w:style w:type="paragraph" w:customStyle="1" w:styleId="xl49">
    <w:name w:val="xl49"/>
    <w:basedOn w:val="Standard"/>
    <w:pPr>
      <w:widowControl/>
      <w:spacing w:before="280" w:after="280"/>
      <w:jc w:val="center"/>
    </w:pPr>
    <w:rPr>
      <w:rFonts w:ascii="標楷體" w:eastAsia="標楷體" w:hAnsi="標楷體" w:cs="標楷體"/>
      <w:b/>
      <w:bCs/>
      <w:kern w:val="0"/>
      <w:sz w:val="32"/>
      <w:szCs w:val="32"/>
    </w:rPr>
  </w:style>
  <w:style w:type="paragraph" w:styleId="ab">
    <w:name w:val="Date"/>
    <w:basedOn w:val="Standard"/>
    <w:next w:val="Standard"/>
    <w:pPr>
      <w:jc w:val="right"/>
    </w:pPr>
  </w:style>
  <w:style w:type="paragraph" w:customStyle="1" w:styleId="Default">
    <w:name w:val="Default"/>
    <w:pPr>
      <w:autoSpaceDE w:val="0"/>
    </w:pPr>
    <w:rPr>
      <w:rFonts w:ascii="標楷體" w:eastAsia="新細明體, PMingLiU" w:hAnsi="標楷體" w:cs="標楷體"/>
      <w:color w:val="000000"/>
      <w:lang w:bidi="ar-SA"/>
    </w:rPr>
  </w:style>
  <w:style w:type="character" w:customStyle="1" w:styleId="WW8Num1z0">
    <w:name w:val="WW8Num1z0"/>
    <w:rPr>
      <w:rFonts w:cs="Times New Roman"/>
    </w:rPr>
  </w:style>
  <w:style w:type="character" w:customStyle="1" w:styleId="WW8Num1z1">
    <w:name w:val="WW8Num1z1"/>
    <w:rPr>
      <w:rFonts w:cs="Times New Roman"/>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b w:val="0"/>
      <w:color w:val="000000"/>
      <w:lang w:val="en-US"/>
    </w:rPr>
  </w:style>
  <w:style w:type="character" w:customStyle="1" w:styleId="WW8Num3z1">
    <w:name w:val="WW8Num3z1"/>
    <w:rPr>
      <w:rFonts w:cs="Times New Roman"/>
      <w:color w:val="FF0000"/>
    </w:rPr>
  </w:style>
  <w:style w:type="character" w:customStyle="1" w:styleId="WW8Num3z2">
    <w:name w:val="WW8Num3z2"/>
    <w:rPr>
      <w:rFonts w:cs="Times New Roman"/>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color w:val="000000"/>
    </w:rPr>
  </w:style>
  <w:style w:type="character" w:customStyle="1" w:styleId="WW8Num12z1">
    <w:name w:val="WW8Num12z1"/>
    <w:rPr>
      <w:rFonts w:cs="Times New Roman"/>
    </w:rPr>
  </w:style>
  <w:style w:type="character" w:customStyle="1" w:styleId="WW8Num12z2">
    <w:name w:val="WW8Num12z2"/>
    <w:rPr>
      <w:rFonts w:cs="Times New Roman"/>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rPr>
  </w:style>
  <w:style w:type="character" w:customStyle="1" w:styleId="WW8Num16z0">
    <w:name w:val="WW8Num16z0"/>
    <w:rPr>
      <w:rFonts w:ascii="Wingdings" w:eastAsia="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ascii="新細明體, PMingLiU" w:eastAsia="新細明體, PMingLiU" w:hAnsi="新細明體, PMingLiU" w:cs="新細明體, PMingLiU"/>
    </w:rPr>
  </w:style>
  <w:style w:type="character" w:customStyle="1" w:styleId="WW8Num24z2">
    <w:name w:val="WW8Num24z2"/>
  </w:style>
  <w:style w:type="character" w:customStyle="1" w:styleId="WW8Num24z3">
    <w:name w:val="WW8Num24z3"/>
  </w:style>
  <w:style w:type="character" w:customStyle="1" w:styleId="WW8Num24z5">
    <w:name w:val="WW8Num24z5"/>
  </w:style>
  <w:style w:type="character" w:customStyle="1" w:styleId="WW8Num24z6">
    <w:name w:val="WW8Num24z6"/>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eastAsia="新細明體, PMingLiU" w:hAnsi="Calibri" w:cs="Calibri"/>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ac">
    <w:name w:val="頁首 字元"/>
    <w:rPr>
      <w:rFonts w:ascii="Times New Roman" w:eastAsia="新細明體, PMingLiU" w:hAnsi="Times New Roman" w:cs="Times New Roman"/>
      <w:sz w:val="20"/>
      <w:szCs w:val="20"/>
    </w:rPr>
  </w:style>
  <w:style w:type="character" w:customStyle="1" w:styleId="ad">
    <w:name w:val="頁尾 字元"/>
    <w:rPr>
      <w:rFonts w:ascii="Times New Roman" w:eastAsia="新細明體, PMingLiU" w:hAnsi="Times New Roman" w:cs="Times New Roman"/>
      <w:sz w:val="20"/>
      <w:szCs w:val="20"/>
    </w:rPr>
  </w:style>
  <w:style w:type="character" w:customStyle="1" w:styleId="ae">
    <w:name w:val="註解方塊文字 字元"/>
    <w:rPr>
      <w:rFonts w:ascii="Cambria" w:eastAsia="新細明體, PMingLiU" w:hAnsi="Cambria" w:cs="Times New Roman"/>
      <w:sz w:val="18"/>
      <w:szCs w:val="18"/>
    </w:rPr>
  </w:style>
  <w:style w:type="character" w:customStyle="1" w:styleId="HTML0">
    <w:name w:val="HTML 預設格式 字元"/>
    <w:rPr>
      <w:rFonts w:ascii="Arial Unicode MS" w:eastAsia="Arial Unicode MS" w:hAnsi="Arial Unicode MS" w:cs="Arial Unicode MS"/>
      <w:kern w:val="0"/>
      <w:sz w:val="20"/>
      <w:szCs w:val="20"/>
    </w:rPr>
  </w:style>
  <w:style w:type="character" w:styleId="af">
    <w:name w:val="annotation reference"/>
    <w:rPr>
      <w:sz w:val="18"/>
      <w:szCs w:val="18"/>
    </w:rPr>
  </w:style>
  <w:style w:type="character" w:customStyle="1" w:styleId="af0">
    <w:name w:val="註解文字 字元"/>
    <w:rPr>
      <w:rFonts w:ascii="Times New Roman" w:eastAsia="Times New Roman" w:hAnsi="Times New Roman" w:cs="Times New Roman"/>
      <w:kern w:val="3"/>
      <w:sz w:val="24"/>
      <w:szCs w:val="24"/>
    </w:rPr>
  </w:style>
  <w:style w:type="character" w:styleId="af1">
    <w:name w:val="Emphasis"/>
    <w:rPr>
      <w:i/>
      <w:iCs/>
    </w:rPr>
  </w:style>
  <w:style w:type="character" w:customStyle="1" w:styleId="af2">
    <w:name w:val="註解主旨 字元"/>
    <w:rPr>
      <w:rFonts w:ascii="Times New Roman" w:eastAsia="Times New Roman" w:hAnsi="Times New Roman" w:cs="Times New Roman"/>
      <w:b/>
      <w:bCs/>
      <w:kern w:val="3"/>
      <w:sz w:val="24"/>
      <w:szCs w:val="22"/>
    </w:rPr>
  </w:style>
  <w:style w:type="character" w:customStyle="1" w:styleId="af3">
    <w:name w:val="清單段落 字元"/>
    <w:rPr>
      <w:kern w:val="3"/>
      <w:sz w:val="24"/>
      <w:szCs w:val="22"/>
    </w:rPr>
  </w:style>
  <w:style w:type="character" w:customStyle="1" w:styleId="af4">
    <w:name w:val="日期 字元"/>
    <w:rPr>
      <w:rFonts w:ascii="Times New Roman" w:eastAsia="Times New Roman" w:hAnsi="Times New Roman" w:cs="Times New Roman"/>
      <w:kern w:val="3"/>
      <w:sz w:val="24"/>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user</cp:lastModifiedBy>
  <cp:revision>2</cp:revision>
  <cp:lastPrinted>2020-10-13T10:15:00Z</cp:lastPrinted>
  <dcterms:created xsi:type="dcterms:W3CDTF">2020-11-03T06:49:00Z</dcterms:created>
  <dcterms:modified xsi:type="dcterms:W3CDTF">2020-11-03T06:49:00Z</dcterms:modified>
</cp:coreProperties>
</file>